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B3804" w14:textId="7AA69A8D" w:rsidR="006A2926" w:rsidRPr="00D4679F" w:rsidRDefault="006A2926" w:rsidP="006A2926">
      <w:pPr>
        <w:pStyle w:val="Header"/>
        <w:spacing w:before="0"/>
        <w:rPr>
          <w:rFonts w:eastAsia="SimSun"/>
          <w:sz w:val="24"/>
          <w:lang w:eastAsia="zh-CN"/>
        </w:rPr>
      </w:pPr>
      <w:bookmarkStart w:id="0" w:name="OLE_LINK39"/>
      <w:r w:rsidRPr="00D4679F">
        <w:rPr>
          <w:rFonts w:eastAsia="SimSun"/>
          <w:sz w:val="24"/>
          <w:lang w:eastAsia="zh-CN"/>
        </w:rPr>
        <w:t xml:space="preserve">3GPP TSG-RAN WG2 Meeting #123                                                        </w:t>
      </w:r>
      <w:r w:rsidR="00D4679F" w:rsidRPr="00D4679F">
        <w:rPr>
          <w:rFonts w:eastAsia="SimSun"/>
          <w:sz w:val="24"/>
          <w:lang w:eastAsia="zh-CN"/>
        </w:rPr>
        <w:t>R2-2307748</w:t>
      </w:r>
    </w:p>
    <w:p w14:paraId="7080BA22" w14:textId="77777777" w:rsidR="006A2926" w:rsidRPr="00427355" w:rsidRDefault="006A2926" w:rsidP="006A2926">
      <w:pPr>
        <w:pStyle w:val="Header"/>
        <w:spacing w:before="0"/>
        <w:rPr>
          <w:rFonts w:eastAsia="SimSun"/>
          <w:sz w:val="24"/>
          <w:lang w:eastAsia="zh-CN"/>
        </w:rPr>
      </w:pPr>
      <w:r w:rsidRPr="00D4679F">
        <w:rPr>
          <w:rFonts w:hint="eastAsia"/>
          <w:noProof/>
          <w:sz w:val="24"/>
        </w:rPr>
        <w:t>Toulous</w:t>
      </w:r>
      <w:r w:rsidRPr="00D4679F">
        <w:rPr>
          <w:noProof/>
          <w:sz w:val="24"/>
        </w:rPr>
        <w:t xml:space="preserve">, France, 21 August – 25 August, </w:t>
      </w:r>
      <w:r w:rsidRPr="00D4679F">
        <w:rPr>
          <w:rFonts w:eastAsia="SimSun"/>
          <w:sz w:val="24"/>
          <w:lang w:eastAsia="zh-CN"/>
        </w:rPr>
        <w:t>2023</w:t>
      </w:r>
    </w:p>
    <w:bookmarkEnd w:id="0"/>
    <w:p w14:paraId="2E1FA2FC" w14:textId="26E1CC1E" w:rsidR="00911ECB" w:rsidRPr="00427355" w:rsidRDefault="00911ECB" w:rsidP="00746075">
      <w:pPr>
        <w:pStyle w:val="Header"/>
        <w:tabs>
          <w:tab w:val="clear" w:pos="4536"/>
          <w:tab w:val="left" w:pos="1800"/>
        </w:tabs>
        <w:spacing w:after="120"/>
        <w:ind w:left="1800" w:hanging="1800"/>
        <w:jc w:val="both"/>
        <w:rPr>
          <w:rFonts w:eastAsia="SimSun"/>
          <w:sz w:val="22"/>
          <w:szCs w:val="22"/>
          <w:lang w:eastAsia="zh-CN"/>
        </w:rPr>
      </w:pPr>
      <w:r w:rsidRPr="00427355">
        <w:rPr>
          <w:rFonts w:cs="Arial"/>
          <w:sz w:val="22"/>
          <w:szCs w:val="22"/>
        </w:rPr>
        <w:t>Source:</w:t>
      </w:r>
      <w:r w:rsidRPr="00427355">
        <w:rPr>
          <w:rFonts w:cs="Arial"/>
          <w:sz w:val="22"/>
          <w:szCs w:val="22"/>
        </w:rPr>
        <w:tab/>
      </w:r>
      <w:r w:rsidR="00240F9D" w:rsidRPr="00427355">
        <w:rPr>
          <w:rFonts w:eastAsia="SimSun"/>
          <w:sz w:val="22"/>
          <w:szCs w:val="22"/>
          <w:lang w:eastAsia="zh-CN"/>
        </w:rPr>
        <w:t>Qualcomm</w:t>
      </w:r>
      <w:r w:rsidR="00034D7E" w:rsidRPr="00427355">
        <w:rPr>
          <w:rFonts w:eastAsia="SimSun"/>
          <w:sz w:val="22"/>
          <w:szCs w:val="22"/>
          <w:lang w:eastAsia="zh-CN"/>
        </w:rPr>
        <w:t xml:space="preserve"> Incorporated </w:t>
      </w:r>
    </w:p>
    <w:p w14:paraId="119FCCBD" w14:textId="79E84410" w:rsidR="00045865" w:rsidRPr="00427355"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427355">
        <w:rPr>
          <w:rFonts w:cs="Arial"/>
          <w:sz w:val="22"/>
          <w:szCs w:val="22"/>
        </w:rPr>
        <w:t>Title:</w:t>
      </w:r>
      <w:bookmarkStart w:id="1" w:name="Title"/>
      <w:bookmarkEnd w:id="1"/>
      <w:r w:rsidRPr="00427355">
        <w:rPr>
          <w:rFonts w:cs="Arial"/>
          <w:sz w:val="22"/>
          <w:szCs w:val="22"/>
        </w:rPr>
        <w:tab/>
      </w:r>
      <w:r w:rsidR="00892282">
        <w:rPr>
          <w:rFonts w:eastAsia="SimSun"/>
          <w:sz w:val="22"/>
          <w:szCs w:val="22"/>
          <w:lang w:eastAsia="zh-CN"/>
        </w:rPr>
        <w:t>Open issues</w:t>
      </w:r>
      <w:r w:rsidR="0035413C" w:rsidRPr="00427355">
        <w:rPr>
          <w:rFonts w:eastAsia="SimSun"/>
          <w:sz w:val="22"/>
          <w:szCs w:val="22"/>
          <w:lang w:eastAsia="zh-CN"/>
        </w:rPr>
        <w:t xml:space="preserve"> to support </w:t>
      </w:r>
      <w:proofErr w:type="spellStart"/>
      <w:r w:rsidR="004871DF" w:rsidRPr="00427355">
        <w:rPr>
          <w:rFonts w:eastAsia="SimSun"/>
          <w:sz w:val="22"/>
          <w:szCs w:val="22"/>
          <w:lang w:eastAsia="zh-CN"/>
        </w:rPr>
        <w:t>QoE</w:t>
      </w:r>
      <w:proofErr w:type="spellEnd"/>
      <w:r w:rsidR="004871DF" w:rsidRPr="00427355">
        <w:rPr>
          <w:rFonts w:eastAsia="SimSun"/>
          <w:sz w:val="22"/>
          <w:szCs w:val="22"/>
          <w:lang w:eastAsia="zh-CN"/>
        </w:rPr>
        <w:t xml:space="preserve"> collection in NR-DC</w:t>
      </w:r>
    </w:p>
    <w:p w14:paraId="3A7E1972" w14:textId="4D005049" w:rsidR="00045865" w:rsidRPr="00427355"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427355">
        <w:rPr>
          <w:rFonts w:cs="Arial"/>
          <w:sz w:val="22"/>
          <w:szCs w:val="22"/>
        </w:rPr>
        <w:t>Agenda Item:</w:t>
      </w:r>
      <w:bookmarkStart w:id="2" w:name="Source"/>
      <w:bookmarkEnd w:id="2"/>
      <w:r w:rsidRPr="00427355">
        <w:rPr>
          <w:rFonts w:cs="Arial"/>
          <w:sz w:val="22"/>
          <w:szCs w:val="22"/>
        </w:rPr>
        <w:tab/>
      </w:r>
      <w:r w:rsidR="00FF3F4E" w:rsidRPr="00427355">
        <w:rPr>
          <w:rFonts w:cs="Arial"/>
          <w:sz w:val="22"/>
          <w:szCs w:val="22"/>
        </w:rPr>
        <w:t>7</w:t>
      </w:r>
      <w:r w:rsidR="00924472" w:rsidRPr="00427355">
        <w:rPr>
          <w:rFonts w:cs="Arial"/>
          <w:sz w:val="22"/>
          <w:szCs w:val="22"/>
        </w:rPr>
        <w:t>.</w:t>
      </w:r>
      <w:r w:rsidR="005213FD" w:rsidRPr="00427355">
        <w:rPr>
          <w:rFonts w:cs="Arial"/>
          <w:sz w:val="22"/>
          <w:szCs w:val="22"/>
        </w:rPr>
        <w:t>14</w:t>
      </w:r>
      <w:r w:rsidRPr="00427355">
        <w:rPr>
          <w:rFonts w:cs="Arial"/>
          <w:sz w:val="22"/>
          <w:szCs w:val="22"/>
        </w:rPr>
        <w:t xml:space="preserve"> </w:t>
      </w:r>
      <w:proofErr w:type="spellStart"/>
      <w:r w:rsidR="00E52EA6" w:rsidRPr="00427355">
        <w:rPr>
          <w:rFonts w:cs="Arial"/>
          <w:sz w:val="22"/>
          <w:szCs w:val="22"/>
        </w:rPr>
        <w:t>QoE</w:t>
      </w:r>
      <w:proofErr w:type="spellEnd"/>
    </w:p>
    <w:p w14:paraId="0BE87C8B" w14:textId="77777777" w:rsidR="00911ECB" w:rsidRPr="00427355" w:rsidRDefault="00911ECB">
      <w:pPr>
        <w:pStyle w:val="Header"/>
        <w:tabs>
          <w:tab w:val="left" w:pos="1800"/>
        </w:tabs>
        <w:jc w:val="both"/>
        <w:rPr>
          <w:rFonts w:eastAsia="SimSun" w:cs="Arial"/>
          <w:sz w:val="22"/>
          <w:szCs w:val="22"/>
          <w:lang w:eastAsia="zh-CN"/>
        </w:rPr>
      </w:pPr>
      <w:r w:rsidRPr="00427355">
        <w:rPr>
          <w:rFonts w:cs="Arial"/>
          <w:sz w:val="22"/>
          <w:szCs w:val="22"/>
        </w:rPr>
        <w:t>Document for:</w:t>
      </w:r>
      <w:r w:rsidRPr="00427355">
        <w:rPr>
          <w:rFonts w:cs="Arial"/>
          <w:sz w:val="22"/>
          <w:szCs w:val="22"/>
        </w:rPr>
        <w:tab/>
      </w:r>
      <w:bookmarkStart w:id="3" w:name="DocumentFor"/>
      <w:bookmarkEnd w:id="3"/>
      <w:r w:rsidRPr="00427355">
        <w:rPr>
          <w:rFonts w:eastAsia="SimSun"/>
          <w:sz w:val="22"/>
          <w:szCs w:val="22"/>
          <w:lang w:eastAsia="zh-CN"/>
        </w:rPr>
        <w:t>Discussion and Decision</w:t>
      </w:r>
    </w:p>
    <w:p w14:paraId="70FEA14E" w14:textId="5044CE01" w:rsidR="00911ECB" w:rsidRPr="00427355"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4" w:name="OLE_LINK13"/>
      <w:bookmarkStart w:id="5" w:name="OLE_LINK14"/>
      <w:r w:rsidRPr="00427355">
        <w:rPr>
          <w:rFonts w:cs="Times New Roman"/>
          <w:b w:val="0"/>
          <w:bCs w:val="0"/>
          <w:kern w:val="0"/>
          <w:sz w:val="36"/>
          <w:szCs w:val="20"/>
          <w:lang w:eastAsia="en-GB"/>
        </w:rPr>
        <w:t>Introduction</w:t>
      </w:r>
      <w:r w:rsidRPr="00427355">
        <w:rPr>
          <w:rFonts w:cs="Times New Roman"/>
          <w:b w:val="0"/>
          <w:bCs w:val="0"/>
          <w:kern w:val="0"/>
          <w:sz w:val="36"/>
          <w:szCs w:val="20"/>
        </w:rPr>
        <w:t xml:space="preserve"> &amp; Background</w:t>
      </w:r>
    </w:p>
    <w:p w14:paraId="0799033D" w14:textId="31625C5E" w:rsidR="00E80119" w:rsidRPr="00427355" w:rsidRDefault="004D0856" w:rsidP="00E30808">
      <w:pPr>
        <w:spacing w:line="280" w:lineRule="atLeast"/>
        <w:jc w:val="both"/>
        <w:rPr>
          <w:rFonts w:eastAsia="MS Mincho"/>
          <w:lang w:eastAsia="zh-CN"/>
        </w:rPr>
      </w:pPr>
      <w:r w:rsidRPr="00427355">
        <w:rPr>
          <w:rFonts w:eastAsia="MS Mincho"/>
          <w:lang w:eastAsia="zh-CN"/>
        </w:rPr>
        <w:t xml:space="preserve">This contribution discusses RAN2 </w:t>
      </w:r>
      <w:r w:rsidR="001E3DBE">
        <w:rPr>
          <w:rFonts w:eastAsia="MS Mincho"/>
          <w:lang w:eastAsia="zh-CN"/>
        </w:rPr>
        <w:t xml:space="preserve">open </w:t>
      </w:r>
      <w:r w:rsidRPr="00427355">
        <w:rPr>
          <w:rFonts w:eastAsia="MS Mincho"/>
          <w:lang w:eastAsia="zh-CN"/>
        </w:rPr>
        <w:t xml:space="preserve">issues for </w:t>
      </w:r>
      <w:proofErr w:type="spellStart"/>
      <w:r w:rsidR="004871DF" w:rsidRPr="00427355">
        <w:rPr>
          <w:rFonts w:eastAsia="MS Mincho"/>
          <w:lang w:eastAsia="zh-CN"/>
        </w:rPr>
        <w:t>QoE</w:t>
      </w:r>
      <w:proofErr w:type="spellEnd"/>
      <w:r w:rsidR="004871DF" w:rsidRPr="00427355">
        <w:rPr>
          <w:rFonts w:eastAsia="MS Mincho"/>
          <w:lang w:eastAsia="zh-CN"/>
        </w:rPr>
        <w:t xml:space="preserve"> collection in NR-DC</w:t>
      </w:r>
      <w:r w:rsidR="00BD5B3F">
        <w:rPr>
          <w:rFonts w:eastAsia="MS Mincho"/>
          <w:lang w:eastAsia="zh-CN"/>
        </w:rPr>
        <w:t xml:space="preserve"> based on the agreements in RAN2</w:t>
      </w:r>
      <w:r w:rsidR="00384CF4">
        <w:rPr>
          <w:rFonts w:eastAsia="MS Mincho"/>
          <w:lang w:eastAsia="zh-CN"/>
        </w:rPr>
        <w:t xml:space="preserve"> and RAN3</w:t>
      </w:r>
      <w:r w:rsidR="00BD5B3F">
        <w:rPr>
          <w:rFonts w:eastAsia="MS Mincho"/>
          <w:lang w:eastAsia="zh-CN"/>
        </w:rPr>
        <w:t xml:space="preserve"> meeting</w:t>
      </w:r>
      <w:r w:rsidR="00384CF4">
        <w:rPr>
          <w:rFonts w:eastAsia="MS Mincho"/>
          <w:lang w:eastAsia="zh-CN"/>
        </w:rPr>
        <w:t>s</w:t>
      </w:r>
      <w:r w:rsidR="00BD5B3F">
        <w:rPr>
          <w:rFonts w:eastAsia="MS Mincho"/>
          <w:lang w:eastAsia="zh-CN"/>
        </w:rPr>
        <w:t>.</w:t>
      </w:r>
    </w:p>
    <w:p w14:paraId="3935F9CE" w14:textId="5EF33929" w:rsidR="00921108" w:rsidRPr="00427355"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27355">
        <w:rPr>
          <w:rFonts w:cs="Times New Roman"/>
          <w:b w:val="0"/>
          <w:bCs w:val="0"/>
          <w:kern w:val="0"/>
          <w:sz w:val="36"/>
          <w:szCs w:val="20"/>
        </w:rPr>
        <w:t>Discussion</w:t>
      </w:r>
    </w:p>
    <w:p w14:paraId="4D215D24" w14:textId="27291F28" w:rsidR="00D108CA" w:rsidRPr="00854C68" w:rsidRDefault="00D108CA" w:rsidP="00D108CA">
      <w:pPr>
        <w:pStyle w:val="Heading1"/>
        <w:numPr>
          <w:ilvl w:val="0"/>
          <w:numId w:val="0"/>
        </w:numPr>
        <w:ind w:left="567" w:hanging="567"/>
        <w:rPr>
          <w:rFonts w:eastAsiaTheme="minorEastAsia"/>
          <w:b w:val="0"/>
          <w:bCs w:val="0"/>
        </w:rPr>
      </w:pPr>
      <w:r w:rsidRPr="00854C68">
        <w:rPr>
          <w:b w:val="0"/>
          <w:bCs w:val="0"/>
        </w:rPr>
        <w:t>2.</w:t>
      </w:r>
      <w:r>
        <w:rPr>
          <w:b w:val="0"/>
          <w:bCs w:val="0"/>
        </w:rPr>
        <w:t>1</w:t>
      </w:r>
      <w:r w:rsidRPr="00854C68">
        <w:rPr>
          <w:b w:val="0"/>
          <w:bCs w:val="0"/>
        </w:rPr>
        <w:t xml:space="preserve"> RRC message to report </w:t>
      </w:r>
      <w:proofErr w:type="spellStart"/>
      <w:r>
        <w:rPr>
          <w:b w:val="0"/>
          <w:bCs w:val="0"/>
        </w:rPr>
        <w:t>QoE</w:t>
      </w:r>
      <w:proofErr w:type="spellEnd"/>
      <w:r>
        <w:rPr>
          <w:b w:val="0"/>
          <w:bCs w:val="0"/>
        </w:rPr>
        <w:t xml:space="preserve"> report associated with non-receiving RAN node (not receive report message from the UE directly) </w:t>
      </w:r>
    </w:p>
    <w:p w14:paraId="13FF00BA" w14:textId="77777777" w:rsidR="00D108CA" w:rsidRDefault="00D108CA" w:rsidP="00D108CA">
      <w:pPr>
        <w:pStyle w:val="BodyText"/>
        <w:rPr>
          <w:lang w:eastAsia="zh-CN"/>
        </w:rPr>
      </w:pPr>
      <w:r>
        <w:rPr>
          <w:lang w:eastAsia="zh-CN"/>
        </w:rPr>
        <w:t>There is a bit discussion on which message should be used to report to the receiving RAN node (</w:t>
      </w:r>
      <w:proofErr w:type="gramStart"/>
      <w:r>
        <w:rPr>
          <w:lang w:eastAsia="zh-CN"/>
        </w:rPr>
        <w:t>i.e.</w:t>
      </w:r>
      <w:proofErr w:type="gramEnd"/>
      <w:r>
        <w:rPr>
          <w:lang w:eastAsia="zh-CN"/>
        </w:rPr>
        <w:t xml:space="preserve"> receive report message from UE directly) for </w:t>
      </w:r>
      <w:proofErr w:type="spellStart"/>
      <w:r>
        <w:rPr>
          <w:lang w:eastAsia="zh-CN"/>
        </w:rPr>
        <w:t>QoE</w:t>
      </w:r>
      <w:proofErr w:type="spellEnd"/>
      <w:r>
        <w:rPr>
          <w:lang w:eastAsia="zh-CN"/>
        </w:rPr>
        <w:t xml:space="preserve"> reporting for the other RAN node associated </w:t>
      </w:r>
      <w:proofErr w:type="spellStart"/>
      <w:r>
        <w:rPr>
          <w:lang w:eastAsia="zh-CN"/>
        </w:rPr>
        <w:t>QoE</w:t>
      </w:r>
      <w:proofErr w:type="spellEnd"/>
      <w:r>
        <w:rPr>
          <w:lang w:eastAsia="zh-CN"/>
        </w:rPr>
        <w:t xml:space="preserve"> configuration (call as non-receiving RAN node). </w:t>
      </w:r>
      <w:proofErr w:type="gramStart"/>
      <w:r>
        <w:rPr>
          <w:lang w:eastAsia="zh-CN"/>
        </w:rPr>
        <w:t>E.g.</w:t>
      </w:r>
      <w:proofErr w:type="gramEnd"/>
      <w:r>
        <w:rPr>
          <w:lang w:eastAsia="zh-CN"/>
        </w:rPr>
        <w:t xml:space="preserve"> reporting SN-associated </w:t>
      </w:r>
      <w:proofErr w:type="spellStart"/>
      <w:r>
        <w:rPr>
          <w:lang w:eastAsia="zh-CN"/>
        </w:rPr>
        <w:t>QoE</w:t>
      </w:r>
      <w:proofErr w:type="spellEnd"/>
      <w:r>
        <w:rPr>
          <w:lang w:eastAsia="zh-CN"/>
        </w:rPr>
        <w:t xml:space="preserve"> measurement over SRB4, reporting MN-associated </w:t>
      </w:r>
      <w:proofErr w:type="spellStart"/>
      <w:r>
        <w:rPr>
          <w:lang w:eastAsia="zh-CN"/>
        </w:rPr>
        <w:t>QoE</w:t>
      </w:r>
      <w:proofErr w:type="spellEnd"/>
      <w:r>
        <w:rPr>
          <w:lang w:eastAsia="zh-CN"/>
        </w:rPr>
        <w:t xml:space="preserve"> measurement over SRB5. There are some FFS issues as following related with this.</w:t>
      </w:r>
    </w:p>
    <w:p w14:paraId="38CBA075" w14:textId="77777777" w:rsidR="00D108CA" w:rsidRPr="00901948" w:rsidRDefault="00D108CA" w:rsidP="00D108CA">
      <w:pPr>
        <w:pStyle w:val="Agreement"/>
        <w:pBdr>
          <w:top w:val="single" w:sz="4" w:space="1" w:color="auto"/>
          <w:left w:val="single" w:sz="4" w:space="4" w:color="auto"/>
          <w:bottom w:val="single" w:sz="4" w:space="1" w:color="auto"/>
          <w:right w:val="single" w:sz="4" w:space="4" w:color="auto"/>
        </w:pBdr>
        <w:tabs>
          <w:tab w:val="clear" w:pos="810"/>
          <w:tab w:val="num" w:pos="1619"/>
        </w:tabs>
        <w:ind w:left="1619"/>
        <w:rPr>
          <w:lang w:val="en-US"/>
        </w:rPr>
      </w:pPr>
      <w:r w:rsidRPr="004F0D8A">
        <w:rPr>
          <w:lang w:val="en-US"/>
        </w:rPr>
        <w:t xml:space="preserve">3: MN- or SN-associated </w:t>
      </w:r>
      <w:proofErr w:type="spellStart"/>
      <w:r w:rsidRPr="004F0D8A">
        <w:rPr>
          <w:lang w:val="en-US"/>
        </w:rPr>
        <w:t>QoE</w:t>
      </w:r>
      <w:proofErr w:type="spellEnd"/>
      <w:r w:rsidRPr="004F0D8A">
        <w:rPr>
          <w:lang w:val="en-US"/>
        </w:rPr>
        <w:t xml:space="preserve"> reports can use either SRB4 or SRB5 if only one of SRB4 or SRB5 is configured for the UE. </w:t>
      </w:r>
      <w:r w:rsidRPr="00901948">
        <w:rPr>
          <w:lang w:val="en-US"/>
        </w:rPr>
        <w:t>FFS whether network configuration is needed.</w:t>
      </w:r>
    </w:p>
    <w:p w14:paraId="76D78DE1" w14:textId="77777777" w:rsidR="00D108CA" w:rsidRPr="004F0D8A" w:rsidRDefault="00D108CA" w:rsidP="00D108CA">
      <w:pPr>
        <w:pStyle w:val="Agreement"/>
        <w:pBdr>
          <w:top w:val="single" w:sz="4" w:space="1" w:color="auto"/>
          <w:left w:val="single" w:sz="4" w:space="4" w:color="auto"/>
          <w:bottom w:val="single" w:sz="4" w:space="1" w:color="auto"/>
          <w:right w:val="single" w:sz="4" w:space="4" w:color="auto"/>
        </w:pBdr>
        <w:tabs>
          <w:tab w:val="clear" w:pos="810"/>
          <w:tab w:val="num" w:pos="1619"/>
        </w:tabs>
        <w:ind w:left="1619"/>
        <w:rPr>
          <w:lang w:val="en-US"/>
        </w:rPr>
      </w:pPr>
      <w:r w:rsidRPr="004F0D8A">
        <w:rPr>
          <w:lang w:val="en-US"/>
        </w:rPr>
        <w:t xml:space="preserve">9: For NR-DC, if SRB5 is not configured (FFS on the SCG deactivation case), UE can transmit the SN-associated </w:t>
      </w:r>
      <w:proofErr w:type="spellStart"/>
      <w:r w:rsidRPr="004F0D8A">
        <w:rPr>
          <w:lang w:val="en-US"/>
        </w:rPr>
        <w:t>QoE</w:t>
      </w:r>
      <w:proofErr w:type="spellEnd"/>
      <w:r w:rsidRPr="004F0D8A">
        <w:rPr>
          <w:lang w:val="en-US"/>
        </w:rPr>
        <w:t xml:space="preserve"> reports via SRB4. </w:t>
      </w:r>
      <w:r w:rsidRPr="00901948">
        <w:rPr>
          <w:lang w:val="en-US"/>
        </w:rPr>
        <w:t>FFS whether there are some ambiguities how MN knows where to forward this.</w:t>
      </w:r>
      <w:r w:rsidRPr="004F0D8A">
        <w:rPr>
          <w:lang w:val="en-US"/>
        </w:rPr>
        <w:t xml:space="preserve"> </w:t>
      </w:r>
    </w:p>
    <w:p w14:paraId="466AE7B9" w14:textId="77777777" w:rsidR="00D108CA" w:rsidRDefault="00D108CA" w:rsidP="00D108CA">
      <w:pPr>
        <w:pStyle w:val="BodyText"/>
        <w:rPr>
          <w:i/>
          <w:iCs/>
          <w:noProof/>
        </w:rPr>
      </w:pPr>
      <w:r>
        <w:rPr>
          <w:lang w:eastAsia="zh-CN"/>
        </w:rPr>
        <w:t xml:space="preserve">Currently, there are two RRC messages to be used for reporting non-receiving RAN node associated </w:t>
      </w:r>
      <w:proofErr w:type="spellStart"/>
      <w:r>
        <w:rPr>
          <w:lang w:eastAsia="zh-CN"/>
        </w:rPr>
        <w:t>QoE</w:t>
      </w:r>
      <w:proofErr w:type="spellEnd"/>
      <w:r>
        <w:rPr>
          <w:lang w:eastAsia="zh-CN"/>
        </w:rPr>
        <w:t xml:space="preserve"> report, one is </w:t>
      </w:r>
      <w:proofErr w:type="spellStart"/>
      <w:r w:rsidRPr="00F43A82">
        <w:rPr>
          <w:i/>
        </w:rPr>
        <w:t>MeasurementReportAppLayer</w:t>
      </w:r>
      <w:proofErr w:type="spellEnd"/>
      <w:r>
        <w:rPr>
          <w:i/>
        </w:rPr>
        <w:t xml:space="preserve">, </w:t>
      </w:r>
      <w:r w:rsidRPr="00D3190F">
        <w:rPr>
          <w:iCs/>
        </w:rPr>
        <w:t>another is</w:t>
      </w:r>
      <w:r>
        <w:rPr>
          <w:iCs/>
        </w:rPr>
        <w:t xml:space="preserve"> </w:t>
      </w:r>
      <w:r w:rsidRPr="00F43A82">
        <w:rPr>
          <w:i/>
          <w:iCs/>
          <w:noProof/>
        </w:rPr>
        <w:t>ULInformationTransferMRDC</w:t>
      </w:r>
      <w:r>
        <w:rPr>
          <w:i/>
          <w:iCs/>
          <w:noProof/>
        </w:rPr>
        <w:t>.</w:t>
      </w:r>
    </w:p>
    <w:p w14:paraId="0E488F22" w14:textId="77777777" w:rsidR="00D108CA" w:rsidRPr="00647449" w:rsidRDefault="00D108CA" w:rsidP="00D108CA">
      <w:pPr>
        <w:pStyle w:val="BodyText"/>
        <w:rPr>
          <w:noProof/>
          <w:u w:val="single"/>
        </w:rPr>
      </w:pPr>
      <w:r w:rsidRPr="00647449">
        <w:rPr>
          <w:noProof/>
          <w:u w:val="single"/>
        </w:rPr>
        <w:t xml:space="preserve">Option 1: Using </w:t>
      </w:r>
      <w:proofErr w:type="spellStart"/>
      <w:r w:rsidRPr="00647449">
        <w:rPr>
          <w:i/>
          <w:u w:val="single"/>
        </w:rPr>
        <w:t>MeasurementReportAppLayer</w:t>
      </w:r>
      <w:proofErr w:type="spellEnd"/>
      <w:r w:rsidRPr="00647449">
        <w:rPr>
          <w:i/>
          <w:u w:val="single"/>
        </w:rPr>
        <w:t xml:space="preserve"> </w:t>
      </w:r>
      <w:r w:rsidRPr="00647449">
        <w:rPr>
          <w:iCs/>
          <w:u w:val="single"/>
        </w:rPr>
        <w:t xml:space="preserve">to send </w:t>
      </w:r>
      <w:proofErr w:type="spellStart"/>
      <w:r w:rsidRPr="00647449">
        <w:rPr>
          <w:iCs/>
          <w:u w:val="single"/>
        </w:rPr>
        <w:t>QoE</w:t>
      </w:r>
      <w:proofErr w:type="spellEnd"/>
      <w:r w:rsidRPr="00647449">
        <w:rPr>
          <w:iCs/>
          <w:u w:val="single"/>
        </w:rPr>
        <w:t xml:space="preserve"> measurement associated with the </w:t>
      </w:r>
      <w:r w:rsidRPr="00647449">
        <w:rPr>
          <w:u w:val="single"/>
          <w:lang w:eastAsia="zh-CN"/>
        </w:rPr>
        <w:t>non-receiving</w:t>
      </w:r>
      <w:r w:rsidRPr="00647449">
        <w:rPr>
          <w:iCs/>
          <w:u w:val="single"/>
        </w:rPr>
        <w:t xml:space="preserve"> RAN node </w:t>
      </w:r>
    </w:p>
    <w:p w14:paraId="10A7C68C" w14:textId="663BA741" w:rsidR="00D108CA" w:rsidRDefault="00D108CA" w:rsidP="00D108CA">
      <w:pPr>
        <w:pStyle w:val="BodyText"/>
        <w:rPr>
          <w:iCs/>
        </w:rPr>
      </w:pPr>
      <w:r w:rsidRPr="0013722E">
        <w:rPr>
          <w:noProof/>
        </w:rPr>
        <w:t xml:space="preserve">If </w:t>
      </w:r>
      <w:proofErr w:type="spellStart"/>
      <w:r w:rsidRPr="00F43A82">
        <w:rPr>
          <w:i/>
        </w:rPr>
        <w:t>MeasurementReportAppLayer</w:t>
      </w:r>
      <w:proofErr w:type="spellEnd"/>
      <w:r>
        <w:rPr>
          <w:i/>
        </w:rPr>
        <w:t xml:space="preserve"> </w:t>
      </w:r>
      <w:r w:rsidRPr="002B6ABB">
        <w:rPr>
          <w:iCs/>
        </w:rPr>
        <w:t xml:space="preserve">is used, then </w:t>
      </w:r>
      <w:r>
        <w:rPr>
          <w:lang w:eastAsia="zh-CN"/>
        </w:rPr>
        <w:t>the receiving RAN node</w:t>
      </w:r>
      <w:r w:rsidRPr="002B6ABB">
        <w:rPr>
          <w:iCs/>
        </w:rPr>
        <w:t xml:space="preserve"> needs to decode the message, and </w:t>
      </w:r>
      <w:r>
        <w:rPr>
          <w:iCs/>
        </w:rPr>
        <w:t xml:space="preserve">determines whether to </w:t>
      </w:r>
      <w:r w:rsidRPr="002B6ABB">
        <w:rPr>
          <w:iCs/>
        </w:rPr>
        <w:t xml:space="preserve">forward the </w:t>
      </w:r>
      <w:proofErr w:type="spellStart"/>
      <w:r w:rsidRPr="002B6ABB">
        <w:rPr>
          <w:iCs/>
        </w:rPr>
        <w:t>QoE</w:t>
      </w:r>
      <w:proofErr w:type="spellEnd"/>
      <w:r w:rsidRPr="002B6ABB">
        <w:rPr>
          <w:iCs/>
        </w:rPr>
        <w:t xml:space="preserve"> report to </w:t>
      </w:r>
      <w:r>
        <w:rPr>
          <w:lang w:eastAsia="zh-CN"/>
        </w:rPr>
        <w:t xml:space="preserve">the non-receiving RAN </w:t>
      </w:r>
      <w:proofErr w:type="gramStart"/>
      <w:r>
        <w:rPr>
          <w:lang w:eastAsia="zh-CN"/>
        </w:rPr>
        <w:t xml:space="preserve">node </w:t>
      </w:r>
      <w:r w:rsidRPr="002B6ABB">
        <w:rPr>
          <w:iCs/>
        </w:rPr>
        <w:t>.</w:t>
      </w:r>
      <w:proofErr w:type="gramEnd"/>
      <w:r w:rsidRPr="002B6ABB">
        <w:rPr>
          <w:iCs/>
        </w:rPr>
        <w:t xml:space="preserve"> </w:t>
      </w:r>
      <w:r>
        <w:rPr>
          <w:lang w:eastAsia="zh-CN"/>
        </w:rPr>
        <w:t xml:space="preserve">the receiving RAN node </w:t>
      </w:r>
      <w:r w:rsidRPr="002B6ABB">
        <w:rPr>
          <w:iCs/>
        </w:rPr>
        <w:t>can determine</w:t>
      </w:r>
      <w:r>
        <w:rPr>
          <w:iCs/>
        </w:rPr>
        <w:t xml:space="preserve"> whether to forward </w:t>
      </w:r>
      <w:proofErr w:type="spellStart"/>
      <w:r>
        <w:rPr>
          <w:iCs/>
        </w:rPr>
        <w:t>QoE</w:t>
      </w:r>
      <w:proofErr w:type="spellEnd"/>
      <w:r>
        <w:rPr>
          <w:iCs/>
        </w:rPr>
        <w:t xml:space="preserve"> report based on the RRC ID (and </w:t>
      </w:r>
      <w:proofErr w:type="spellStart"/>
      <w:r>
        <w:rPr>
          <w:iCs/>
        </w:rPr>
        <w:t>QoE</w:t>
      </w:r>
      <w:proofErr w:type="spellEnd"/>
      <w:r>
        <w:rPr>
          <w:iCs/>
        </w:rPr>
        <w:t xml:space="preserve"> Reference), i.e. from the RRC ID, the</w:t>
      </w:r>
      <w:r>
        <w:rPr>
          <w:lang w:eastAsia="zh-CN"/>
        </w:rPr>
        <w:t xml:space="preserve"> receiving RAN </w:t>
      </w:r>
      <w:proofErr w:type="gramStart"/>
      <w:r>
        <w:rPr>
          <w:lang w:eastAsia="zh-CN"/>
        </w:rPr>
        <w:t xml:space="preserve">node </w:t>
      </w:r>
      <w:r w:rsidRPr="002B6ABB">
        <w:rPr>
          <w:iCs/>
        </w:rPr>
        <w:t xml:space="preserve"> </w:t>
      </w:r>
      <w:r>
        <w:rPr>
          <w:iCs/>
        </w:rPr>
        <w:t>can</w:t>
      </w:r>
      <w:proofErr w:type="gramEnd"/>
      <w:r>
        <w:rPr>
          <w:iCs/>
        </w:rPr>
        <w:t xml:space="preserve"> know which RAN node the </w:t>
      </w:r>
      <w:proofErr w:type="spellStart"/>
      <w:r>
        <w:rPr>
          <w:iCs/>
        </w:rPr>
        <w:t>QoE</w:t>
      </w:r>
      <w:proofErr w:type="spellEnd"/>
      <w:r>
        <w:rPr>
          <w:iCs/>
        </w:rPr>
        <w:t xml:space="preserve"> report is associated with. </w:t>
      </w:r>
    </w:p>
    <w:p w14:paraId="0F78AF5F" w14:textId="04FE3BF2" w:rsidR="00D108CA" w:rsidRDefault="009674C7" w:rsidP="00D108CA">
      <w:pPr>
        <w:pStyle w:val="BodyText"/>
        <w:rPr>
          <w:iCs/>
        </w:rPr>
      </w:pPr>
      <w:r>
        <w:rPr>
          <w:iCs/>
        </w:rPr>
        <w:t>There are several benefits for option 1</w:t>
      </w:r>
      <w:r w:rsidR="00D108CA">
        <w:rPr>
          <w:iCs/>
        </w:rPr>
        <w:t xml:space="preserve">, </w:t>
      </w:r>
      <w:proofErr w:type="spellStart"/>
      <w:r w:rsidR="00AB12AE">
        <w:rPr>
          <w:iCs/>
        </w:rPr>
        <w:t>e.g.</w:t>
      </w:r>
      <w:r w:rsidR="00D108CA">
        <w:rPr>
          <w:iCs/>
        </w:rPr>
        <w:t>UE</w:t>
      </w:r>
      <w:proofErr w:type="spellEnd"/>
      <w:r w:rsidR="00D108CA">
        <w:rPr>
          <w:iCs/>
        </w:rPr>
        <w:t xml:space="preserve"> can report MN associated </w:t>
      </w:r>
      <w:proofErr w:type="spellStart"/>
      <w:r w:rsidR="00D108CA">
        <w:rPr>
          <w:iCs/>
        </w:rPr>
        <w:t>QoE</w:t>
      </w:r>
      <w:proofErr w:type="spellEnd"/>
      <w:r w:rsidR="00D108CA">
        <w:rPr>
          <w:iCs/>
        </w:rPr>
        <w:t xml:space="preserve"> measurement and SN associated </w:t>
      </w:r>
      <w:proofErr w:type="spellStart"/>
      <w:r w:rsidR="00D108CA">
        <w:rPr>
          <w:iCs/>
        </w:rPr>
        <w:t>QoE</w:t>
      </w:r>
      <w:proofErr w:type="spellEnd"/>
      <w:r w:rsidR="00D108CA">
        <w:rPr>
          <w:iCs/>
        </w:rPr>
        <w:t xml:space="preserve"> measurement into one message, which could save </w:t>
      </w:r>
      <w:proofErr w:type="spellStart"/>
      <w:r w:rsidR="00D108CA">
        <w:rPr>
          <w:iCs/>
        </w:rPr>
        <w:t>signalling</w:t>
      </w:r>
      <w:proofErr w:type="spellEnd"/>
      <w:r w:rsidR="00D108CA">
        <w:rPr>
          <w:iCs/>
        </w:rPr>
        <w:t xml:space="preserve"> overhead</w:t>
      </w:r>
      <w:r w:rsidR="00AB12AE">
        <w:rPr>
          <w:iCs/>
        </w:rPr>
        <w:t>;</w:t>
      </w:r>
      <w:r w:rsidR="00D108CA">
        <w:rPr>
          <w:iCs/>
        </w:rPr>
        <w:t xml:space="preserve"> UE does not need to distinguish which message should be used</w:t>
      </w:r>
      <w:r w:rsidR="00AB12AE">
        <w:rPr>
          <w:iCs/>
        </w:rPr>
        <w:t>;</w:t>
      </w:r>
      <w:r w:rsidR="00D108CA">
        <w:rPr>
          <w:iCs/>
        </w:rPr>
        <w:t xml:space="preserve"> </w:t>
      </w:r>
      <w:r w:rsidR="000A2A80">
        <w:rPr>
          <w:iCs/>
        </w:rPr>
        <w:t>the receiving RAN node</w:t>
      </w:r>
      <w:r w:rsidR="00BB159C">
        <w:rPr>
          <w:iCs/>
        </w:rPr>
        <w:t xml:space="preserve"> has the MCE address for the received </w:t>
      </w:r>
      <w:proofErr w:type="spellStart"/>
      <w:r w:rsidR="00BB159C">
        <w:rPr>
          <w:iCs/>
        </w:rPr>
        <w:t>QoE</w:t>
      </w:r>
      <w:proofErr w:type="spellEnd"/>
      <w:r w:rsidR="00BB159C">
        <w:rPr>
          <w:iCs/>
        </w:rPr>
        <w:t xml:space="preserve"> report</w:t>
      </w:r>
      <w:r w:rsidR="00FA1E11">
        <w:rPr>
          <w:iCs/>
        </w:rPr>
        <w:t xml:space="preserve"> and can forward directly to MCE</w:t>
      </w:r>
      <w:r w:rsidR="00BB159C">
        <w:rPr>
          <w:iCs/>
        </w:rPr>
        <w:t xml:space="preserve">, </w:t>
      </w:r>
      <w:r w:rsidR="00BB159C">
        <w:rPr>
          <w:iCs/>
        </w:rPr>
        <w:t xml:space="preserve">the receiving RAN node </w:t>
      </w:r>
      <w:r w:rsidR="00BB159C">
        <w:rPr>
          <w:iCs/>
        </w:rPr>
        <w:t>does not need to forward to the non-receiving RAN node</w:t>
      </w:r>
      <w:r w:rsidR="00892788">
        <w:rPr>
          <w:iCs/>
        </w:rPr>
        <w:t xml:space="preserve"> (e.g. </w:t>
      </w:r>
      <w:r w:rsidR="007860D5">
        <w:rPr>
          <w:iCs/>
        </w:rPr>
        <w:t>f</w:t>
      </w:r>
      <w:r w:rsidR="00D108CA">
        <w:rPr>
          <w:iCs/>
        </w:rPr>
        <w:t xml:space="preserve">or those </w:t>
      </w:r>
      <w:proofErr w:type="spellStart"/>
      <w:r w:rsidR="00D108CA">
        <w:rPr>
          <w:iCs/>
        </w:rPr>
        <w:t>QoE</w:t>
      </w:r>
      <w:proofErr w:type="spellEnd"/>
      <w:r w:rsidR="00D108CA">
        <w:rPr>
          <w:iCs/>
        </w:rPr>
        <w:t xml:space="preserve"> report which are </w:t>
      </w:r>
      <w:r w:rsidR="00FA1E11">
        <w:rPr>
          <w:iCs/>
        </w:rPr>
        <w:t>received</w:t>
      </w:r>
      <w:r w:rsidR="00FA1E11">
        <w:rPr>
          <w:iCs/>
        </w:rPr>
        <w:t xml:space="preserve"> </w:t>
      </w:r>
      <w:r w:rsidR="00D108CA">
        <w:rPr>
          <w:iCs/>
        </w:rPr>
        <w:t xml:space="preserve">by both of MN and SN (e.g. for the </w:t>
      </w:r>
      <w:proofErr w:type="spellStart"/>
      <w:r w:rsidR="00D108CA">
        <w:rPr>
          <w:iCs/>
        </w:rPr>
        <w:t>QoE</w:t>
      </w:r>
      <w:proofErr w:type="spellEnd"/>
      <w:r w:rsidR="00D108CA">
        <w:rPr>
          <w:iCs/>
        </w:rPr>
        <w:t xml:space="preserve"> 1 in Figure 1).</w:t>
      </w:r>
    </w:p>
    <w:p w14:paraId="63281A7D" w14:textId="1E47A033" w:rsidR="00CC07EC" w:rsidRDefault="00FA1E11" w:rsidP="00303A3C">
      <w:pPr>
        <w:pStyle w:val="BodyText"/>
        <w:jc w:val="center"/>
      </w:pPr>
      <w:r>
        <w:object w:dxaOrig="6232" w:dyaOrig="3022" w14:anchorId="255264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5.85pt;height:80.4pt" o:ole="">
            <v:imagedata r:id="rId11" o:title=""/>
          </v:shape>
          <o:OLEObject Type="Embed" ProgID="Visio.Drawing.15" ShapeID="_x0000_i1031" DrawAspect="Content" ObjectID="_1753257803" r:id="rId12"/>
        </w:object>
      </w:r>
    </w:p>
    <w:p w14:paraId="6E6C89E2" w14:textId="1933B262" w:rsidR="00303A3C" w:rsidRDefault="00303A3C" w:rsidP="00133F35">
      <w:pPr>
        <w:pStyle w:val="BodyText"/>
        <w:jc w:val="center"/>
        <w:rPr>
          <w:iCs/>
        </w:rPr>
      </w:pPr>
      <w:r>
        <w:rPr>
          <w:iCs/>
        </w:rPr>
        <w:t>Figure 1</w:t>
      </w:r>
    </w:p>
    <w:p w14:paraId="23EC8011" w14:textId="77777777" w:rsidR="00D108CA" w:rsidRDefault="00D108CA" w:rsidP="00D108CA">
      <w:pPr>
        <w:pStyle w:val="BodyText"/>
        <w:rPr>
          <w:iCs/>
        </w:rPr>
      </w:pPr>
      <w:r>
        <w:rPr>
          <w:iCs/>
        </w:rPr>
        <w:lastRenderedPageBreak/>
        <w:t>The drawback of the option is, RVQoE measurements are not encapsulated into container and the RVQoE measurements could be visible to the receiving RAN node.</w:t>
      </w:r>
    </w:p>
    <w:p w14:paraId="42F9DAA0" w14:textId="77777777" w:rsidR="00D108CA" w:rsidRPr="00647449" w:rsidRDefault="00D108CA" w:rsidP="00D108CA">
      <w:pPr>
        <w:pStyle w:val="BodyText"/>
        <w:rPr>
          <w:iCs/>
          <w:u w:val="single"/>
        </w:rPr>
      </w:pPr>
      <w:r w:rsidRPr="00647449">
        <w:rPr>
          <w:noProof/>
          <w:u w:val="single"/>
        </w:rPr>
        <w:t xml:space="preserve">Option 2: Using </w:t>
      </w:r>
      <w:r w:rsidRPr="00647449">
        <w:rPr>
          <w:i/>
          <w:iCs/>
          <w:noProof/>
          <w:u w:val="single"/>
        </w:rPr>
        <w:t>ULInformationTransferMRDC</w:t>
      </w:r>
      <w:r w:rsidRPr="00647449">
        <w:rPr>
          <w:i/>
          <w:u w:val="single"/>
        </w:rPr>
        <w:t xml:space="preserve"> </w:t>
      </w:r>
      <w:r w:rsidRPr="00647449">
        <w:rPr>
          <w:iCs/>
          <w:u w:val="single"/>
        </w:rPr>
        <w:t>to send QoE measurement for the other RAN node associated QoE</w:t>
      </w:r>
    </w:p>
    <w:p w14:paraId="06450CC9" w14:textId="77777777" w:rsidR="00D108CA" w:rsidRDefault="00D108CA" w:rsidP="00D108CA">
      <w:pPr>
        <w:pStyle w:val="BodyText"/>
        <w:rPr>
          <w:noProof/>
        </w:rPr>
      </w:pPr>
      <w:r>
        <w:rPr>
          <w:iCs/>
        </w:rPr>
        <w:t xml:space="preserve">In this option, UE will encapsulate </w:t>
      </w:r>
      <w:r w:rsidRPr="00F43A82">
        <w:rPr>
          <w:i/>
        </w:rPr>
        <w:t>MeasurementReportAppLayer</w:t>
      </w:r>
      <w:r w:rsidRPr="00647449">
        <w:rPr>
          <w:iCs/>
        </w:rPr>
        <w:t xml:space="preserve"> including the QoE report associated with </w:t>
      </w:r>
      <w:r w:rsidRPr="00250F66">
        <w:rPr>
          <w:iCs/>
        </w:rPr>
        <w:t>non-receiving RAN node</w:t>
      </w:r>
      <w:r w:rsidRPr="00647449">
        <w:rPr>
          <w:iCs/>
        </w:rPr>
        <w:t xml:space="preserve"> into </w:t>
      </w:r>
      <w:r w:rsidRPr="00F43A82">
        <w:rPr>
          <w:i/>
          <w:iCs/>
          <w:noProof/>
        </w:rPr>
        <w:t>ULInformationTransferMRDC</w:t>
      </w:r>
      <w:r>
        <w:rPr>
          <w:i/>
          <w:iCs/>
          <w:noProof/>
        </w:rPr>
        <w:t xml:space="preserve">, </w:t>
      </w:r>
      <w:r w:rsidRPr="00647449">
        <w:rPr>
          <w:noProof/>
        </w:rPr>
        <w:t xml:space="preserve">and the </w:t>
      </w:r>
      <w:r>
        <w:rPr>
          <w:noProof/>
        </w:rPr>
        <w:t xml:space="preserve">receiving </w:t>
      </w:r>
      <w:r w:rsidRPr="00647449">
        <w:rPr>
          <w:noProof/>
        </w:rPr>
        <w:t>RAN node will not decode</w:t>
      </w:r>
      <w:r>
        <w:rPr>
          <w:i/>
          <w:iCs/>
          <w:noProof/>
        </w:rPr>
        <w:t xml:space="preserve"> the </w:t>
      </w:r>
      <w:r w:rsidRPr="00F43A82">
        <w:rPr>
          <w:i/>
        </w:rPr>
        <w:t>MeasurementReportAppLayer</w:t>
      </w:r>
      <w:r>
        <w:rPr>
          <w:i/>
        </w:rPr>
        <w:t xml:space="preserve"> </w:t>
      </w:r>
      <w:r w:rsidRPr="00647449">
        <w:rPr>
          <w:iCs/>
        </w:rPr>
        <w:t>and directly forward MeasurementReportAppLayer container to the other RAN node</w:t>
      </w:r>
      <w:r>
        <w:rPr>
          <w:iCs/>
        </w:rPr>
        <w:t xml:space="preserve">. The benefit of the option is the QoE and RVQoE measurement are transparent to the </w:t>
      </w:r>
      <w:r w:rsidRPr="00250F66">
        <w:rPr>
          <w:iCs/>
        </w:rPr>
        <w:t>receiving RAN node</w:t>
      </w:r>
      <w:r>
        <w:rPr>
          <w:iCs/>
        </w:rPr>
        <w:t xml:space="preserve">. The drawback of the option is the receiving RAN node cannot decode the </w:t>
      </w:r>
      <w:r w:rsidRPr="00F43A82">
        <w:rPr>
          <w:i/>
        </w:rPr>
        <w:t>MeasurementReportAppLayer</w:t>
      </w:r>
      <w:r>
        <w:rPr>
          <w:i/>
        </w:rPr>
        <w:t xml:space="preserve"> </w:t>
      </w:r>
      <w:r w:rsidRPr="00647449">
        <w:rPr>
          <w:iCs/>
        </w:rPr>
        <w:t>encapsulated in</w:t>
      </w:r>
      <w:r>
        <w:rPr>
          <w:i/>
        </w:rPr>
        <w:t xml:space="preserve"> </w:t>
      </w:r>
      <w:r w:rsidRPr="00F43A82">
        <w:rPr>
          <w:i/>
          <w:iCs/>
          <w:noProof/>
        </w:rPr>
        <w:t>ULInformationTransferMRDC</w:t>
      </w:r>
      <w:r>
        <w:rPr>
          <w:i/>
          <w:iCs/>
          <w:noProof/>
        </w:rPr>
        <w:t xml:space="preserve"> </w:t>
      </w:r>
      <w:r w:rsidRPr="00647449">
        <w:rPr>
          <w:noProof/>
        </w:rPr>
        <w:t>message</w:t>
      </w:r>
      <w:r>
        <w:rPr>
          <w:noProof/>
        </w:rPr>
        <w:t xml:space="preserve"> if the QoE configuration is shared by MN and SN, e.g. as the QoE 1 shown in Figure 1. Table 1 sumarizes the two options.</w:t>
      </w:r>
    </w:p>
    <w:p w14:paraId="22083AA3" w14:textId="77777777" w:rsidR="00D108CA" w:rsidRPr="00647449" w:rsidRDefault="00D108CA" w:rsidP="00D108CA">
      <w:pPr>
        <w:pStyle w:val="BodyText"/>
        <w:rPr>
          <w:iCs/>
        </w:rPr>
      </w:pPr>
      <w:r>
        <w:rPr>
          <w:iCs/>
        </w:rPr>
        <w:t>Table 1</w:t>
      </w:r>
    </w:p>
    <w:tbl>
      <w:tblPr>
        <w:tblStyle w:val="TableGrid"/>
        <w:tblW w:w="0" w:type="auto"/>
        <w:tblLayout w:type="fixed"/>
        <w:tblLook w:val="04A0" w:firstRow="1" w:lastRow="0" w:firstColumn="1" w:lastColumn="0" w:noHBand="0" w:noVBand="1"/>
      </w:tblPr>
      <w:tblGrid>
        <w:gridCol w:w="1216"/>
        <w:gridCol w:w="1929"/>
        <w:gridCol w:w="2700"/>
        <w:gridCol w:w="3215"/>
      </w:tblGrid>
      <w:tr w:rsidR="00D108CA" w:rsidRPr="00647449" w14:paraId="0B1C9B6D" w14:textId="77777777" w:rsidTr="00647449">
        <w:tc>
          <w:tcPr>
            <w:tcW w:w="1216" w:type="dxa"/>
          </w:tcPr>
          <w:p w14:paraId="30BE3ADC" w14:textId="77777777" w:rsidR="00D108CA" w:rsidRPr="00647449" w:rsidRDefault="00D108CA" w:rsidP="00647449">
            <w:pPr>
              <w:pStyle w:val="BodyText"/>
              <w:jc w:val="center"/>
              <w:rPr>
                <w:noProof/>
                <w:sz w:val="16"/>
                <w:szCs w:val="20"/>
              </w:rPr>
            </w:pPr>
            <w:r w:rsidRPr="00647449">
              <w:rPr>
                <w:noProof/>
                <w:sz w:val="16"/>
                <w:szCs w:val="20"/>
              </w:rPr>
              <w:t>Options</w:t>
            </w:r>
          </w:p>
        </w:tc>
        <w:tc>
          <w:tcPr>
            <w:tcW w:w="1929" w:type="dxa"/>
          </w:tcPr>
          <w:p w14:paraId="0CE4D3E1" w14:textId="77777777" w:rsidR="00D108CA" w:rsidRPr="00647449" w:rsidRDefault="00D108CA" w:rsidP="00647449">
            <w:pPr>
              <w:pStyle w:val="BodyText"/>
              <w:rPr>
                <w:noProof/>
                <w:sz w:val="16"/>
                <w:szCs w:val="20"/>
              </w:rPr>
            </w:pPr>
            <w:r w:rsidRPr="00647449">
              <w:rPr>
                <w:noProof/>
                <w:sz w:val="16"/>
                <w:szCs w:val="20"/>
              </w:rPr>
              <w:t>The receiving RAN node</w:t>
            </w:r>
          </w:p>
        </w:tc>
        <w:tc>
          <w:tcPr>
            <w:tcW w:w="2700" w:type="dxa"/>
          </w:tcPr>
          <w:p w14:paraId="41A11CEE" w14:textId="77777777" w:rsidR="00D108CA" w:rsidRPr="00647449" w:rsidRDefault="00D108CA" w:rsidP="00647449">
            <w:pPr>
              <w:pStyle w:val="BodyText"/>
              <w:rPr>
                <w:noProof/>
                <w:sz w:val="16"/>
                <w:szCs w:val="20"/>
              </w:rPr>
            </w:pPr>
            <w:r w:rsidRPr="00647449">
              <w:rPr>
                <w:noProof/>
                <w:sz w:val="16"/>
                <w:szCs w:val="20"/>
              </w:rPr>
              <w:t>UE</w:t>
            </w:r>
          </w:p>
        </w:tc>
        <w:tc>
          <w:tcPr>
            <w:tcW w:w="3215" w:type="dxa"/>
          </w:tcPr>
          <w:p w14:paraId="5CDFA728" w14:textId="77777777" w:rsidR="00D108CA" w:rsidRPr="00647449" w:rsidRDefault="00D108CA" w:rsidP="00647449">
            <w:pPr>
              <w:pStyle w:val="BodyText"/>
              <w:rPr>
                <w:noProof/>
                <w:sz w:val="16"/>
                <w:szCs w:val="20"/>
              </w:rPr>
            </w:pPr>
            <w:r w:rsidRPr="00647449">
              <w:rPr>
                <w:noProof/>
                <w:sz w:val="16"/>
                <w:szCs w:val="20"/>
              </w:rPr>
              <w:t>Pros and Cons</w:t>
            </w:r>
          </w:p>
        </w:tc>
      </w:tr>
      <w:tr w:rsidR="00D108CA" w:rsidRPr="00647449" w14:paraId="1F54C67C" w14:textId="77777777" w:rsidTr="00647449">
        <w:tc>
          <w:tcPr>
            <w:tcW w:w="1216" w:type="dxa"/>
          </w:tcPr>
          <w:p w14:paraId="63835BAB" w14:textId="77777777" w:rsidR="00D108CA" w:rsidRDefault="00D108CA" w:rsidP="00647449">
            <w:pPr>
              <w:pStyle w:val="BodyText"/>
              <w:jc w:val="center"/>
              <w:rPr>
                <w:noProof/>
                <w:sz w:val="16"/>
                <w:szCs w:val="20"/>
              </w:rPr>
            </w:pPr>
            <w:r w:rsidRPr="00647449">
              <w:rPr>
                <w:noProof/>
                <w:sz w:val="16"/>
                <w:szCs w:val="20"/>
              </w:rPr>
              <w:t>Option 1</w:t>
            </w:r>
          </w:p>
          <w:p w14:paraId="41609C5E" w14:textId="77777777" w:rsidR="00D108CA" w:rsidRPr="00647449" w:rsidRDefault="00D108CA" w:rsidP="00647449">
            <w:pPr>
              <w:pStyle w:val="BodyText"/>
              <w:jc w:val="center"/>
              <w:rPr>
                <w:noProof/>
                <w:sz w:val="16"/>
                <w:szCs w:val="20"/>
              </w:rPr>
            </w:pPr>
            <w:r>
              <w:rPr>
                <w:noProof/>
                <w:sz w:val="16"/>
                <w:szCs w:val="20"/>
              </w:rPr>
              <w:t>(</w:t>
            </w:r>
            <w:r w:rsidRPr="00647449">
              <w:rPr>
                <w:sz w:val="16"/>
                <w:szCs w:val="20"/>
              </w:rPr>
              <w:t>MeasurementReportAppLayer</w:t>
            </w:r>
            <w:r>
              <w:rPr>
                <w:noProof/>
                <w:sz w:val="16"/>
                <w:szCs w:val="20"/>
              </w:rPr>
              <w:t>)</w:t>
            </w:r>
          </w:p>
        </w:tc>
        <w:tc>
          <w:tcPr>
            <w:tcW w:w="1929" w:type="dxa"/>
          </w:tcPr>
          <w:p w14:paraId="325B958B" w14:textId="77777777" w:rsidR="00D108CA" w:rsidRPr="00647449" w:rsidRDefault="00D108CA" w:rsidP="00647449">
            <w:pPr>
              <w:pStyle w:val="BodyText"/>
              <w:rPr>
                <w:noProof/>
                <w:sz w:val="16"/>
                <w:szCs w:val="20"/>
              </w:rPr>
            </w:pPr>
            <w:r w:rsidRPr="00647449">
              <w:rPr>
                <w:noProof/>
                <w:sz w:val="16"/>
                <w:szCs w:val="20"/>
              </w:rPr>
              <w:t xml:space="preserve">Determine whether to forward the QoE container to the </w:t>
            </w:r>
            <w:r>
              <w:rPr>
                <w:noProof/>
                <w:sz w:val="16"/>
                <w:szCs w:val="20"/>
              </w:rPr>
              <w:t>non-receiving</w:t>
            </w:r>
            <w:r w:rsidRPr="00647449">
              <w:rPr>
                <w:noProof/>
                <w:sz w:val="16"/>
                <w:szCs w:val="20"/>
              </w:rPr>
              <w:t xml:space="preserve"> RAN node based on the RRC ID</w:t>
            </w:r>
          </w:p>
        </w:tc>
        <w:tc>
          <w:tcPr>
            <w:tcW w:w="2700" w:type="dxa"/>
          </w:tcPr>
          <w:p w14:paraId="7E84D5B3" w14:textId="77777777" w:rsidR="00D108CA" w:rsidRPr="00647449" w:rsidRDefault="00D108CA" w:rsidP="00647449">
            <w:pPr>
              <w:pStyle w:val="BodyText"/>
              <w:rPr>
                <w:i/>
                <w:sz w:val="16"/>
                <w:szCs w:val="20"/>
              </w:rPr>
            </w:pPr>
            <w:r w:rsidRPr="00647449">
              <w:rPr>
                <w:noProof/>
                <w:sz w:val="16"/>
                <w:szCs w:val="20"/>
              </w:rPr>
              <w:t xml:space="preserve">Always use </w:t>
            </w:r>
            <w:r w:rsidRPr="00647449">
              <w:rPr>
                <w:i/>
                <w:sz w:val="16"/>
                <w:szCs w:val="20"/>
              </w:rPr>
              <w:t xml:space="preserve">MeasurementReportAppLayer </w:t>
            </w:r>
            <w:r w:rsidRPr="00647449">
              <w:rPr>
                <w:iCs/>
                <w:sz w:val="16"/>
                <w:szCs w:val="20"/>
              </w:rPr>
              <w:t>to send QoE report.</w:t>
            </w:r>
          </w:p>
          <w:p w14:paraId="49073CEC" w14:textId="77777777" w:rsidR="00D108CA" w:rsidRPr="00647449" w:rsidRDefault="00D108CA" w:rsidP="00647449">
            <w:pPr>
              <w:pStyle w:val="BodyText"/>
              <w:rPr>
                <w:iCs/>
                <w:noProof/>
                <w:sz w:val="16"/>
                <w:szCs w:val="20"/>
              </w:rPr>
            </w:pPr>
          </w:p>
        </w:tc>
        <w:tc>
          <w:tcPr>
            <w:tcW w:w="3215" w:type="dxa"/>
          </w:tcPr>
          <w:p w14:paraId="35B8FE2E" w14:textId="77777777" w:rsidR="00D108CA" w:rsidRDefault="00D108CA" w:rsidP="00647449">
            <w:pPr>
              <w:pStyle w:val="BodyText"/>
              <w:rPr>
                <w:iCs/>
                <w:sz w:val="16"/>
                <w:szCs w:val="20"/>
              </w:rPr>
            </w:pPr>
            <w:r>
              <w:rPr>
                <w:iCs/>
                <w:sz w:val="16"/>
                <w:szCs w:val="20"/>
              </w:rPr>
              <w:t>Pros:</w:t>
            </w:r>
          </w:p>
          <w:p w14:paraId="14FBF963" w14:textId="3CD978AE" w:rsidR="00D108CA" w:rsidRDefault="00D108CA" w:rsidP="00647449">
            <w:pPr>
              <w:pStyle w:val="BodyText"/>
              <w:rPr>
                <w:iCs/>
                <w:sz w:val="16"/>
                <w:szCs w:val="20"/>
              </w:rPr>
            </w:pPr>
            <w:r>
              <w:rPr>
                <w:iCs/>
                <w:sz w:val="16"/>
                <w:szCs w:val="20"/>
              </w:rPr>
              <w:t xml:space="preserve">- </w:t>
            </w:r>
            <w:r w:rsidRPr="00647449">
              <w:rPr>
                <w:iCs/>
                <w:sz w:val="16"/>
                <w:szCs w:val="20"/>
              </w:rPr>
              <w:t xml:space="preserve">Can include both MN and SN associated QoE report in one </w:t>
            </w:r>
            <w:proofErr w:type="spellStart"/>
            <w:r w:rsidRPr="00647449">
              <w:rPr>
                <w:i/>
                <w:sz w:val="16"/>
                <w:szCs w:val="20"/>
              </w:rPr>
              <w:t>MeasurementReportAppLayer</w:t>
            </w:r>
            <w:proofErr w:type="spellEnd"/>
            <w:r w:rsidRPr="00647449">
              <w:rPr>
                <w:i/>
                <w:sz w:val="16"/>
                <w:szCs w:val="20"/>
              </w:rPr>
              <w:t xml:space="preserve"> </w:t>
            </w:r>
            <w:r w:rsidRPr="00647449">
              <w:rPr>
                <w:iCs/>
                <w:sz w:val="16"/>
                <w:szCs w:val="20"/>
              </w:rPr>
              <w:t>message</w:t>
            </w:r>
            <w:r w:rsidR="00D2721A">
              <w:rPr>
                <w:iCs/>
                <w:sz w:val="16"/>
                <w:szCs w:val="20"/>
              </w:rPr>
              <w:t>; and UE does not need to send two different messages</w:t>
            </w:r>
          </w:p>
          <w:p w14:paraId="219B1A2B" w14:textId="7EAF2D97" w:rsidR="00D108CA" w:rsidRDefault="00D108CA" w:rsidP="00647449">
            <w:pPr>
              <w:pStyle w:val="BodyText"/>
              <w:rPr>
                <w:iCs/>
                <w:sz w:val="16"/>
                <w:szCs w:val="20"/>
              </w:rPr>
            </w:pPr>
            <w:r>
              <w:rPr>
                <w:iCs/>
                <w:sz w:val="16"/>
                <w:szCs w:val="20"/>
              </w:rPr>
              <w:t xml:space="preserve">- </w:t>
            </w:r>
            <w:r w:rsidR="00753550">
              <w:rPr>
                <w:iCs/>
                <w:sz w:val="16"/>
                <w:szCs w:val="20"/>
              </w:rPr>
              <w:t>T</w:t>
            </w:r>
            <w:r w:rsidR="00D2721A" w:rsidRPr="00D2721A">
              <w:rPr>
                <w:iCs/>
                <w:sz w:val="16"/>
                <w:szCs w:val="20"/>
              </w:rPr>
              <w:t xml:space="preserve">he receiving RAN node </w:t>
            </w:r>
            <w:r w:rsidR="004825D8">
              <w:rPr>
                <w:iCs/>
                <w:sz w:val="16"/>
                <w:szCs w:val="20"/>
              </w:rPr>
              <w:t xml:space="preserve">can directly forward </w:t>
            </w:r>
            <w:proofErr w:type="spellStart"/>
            <w:r w:rsidR="004825D8">
              <w:rPr>
                <w:iCs/>
                <w:sz w:val="16"/>
                <w:szCs w:val="20"/>
              </w:rPr>
              <w:t>QoE</w:t>
            </w:r>
            <w:proofErr w:type="spellEnd"/>
            <w:r w:rsidR="004825D8">
              <w:rPr>
                <w:iCs/>
                <w:sz w:val="16"/>
                <w:szCs w:val="20"/>
              </w:rPr>
              <w:t xml:space="preserve"> data to MCE if </w:t>
            </w:r>
            <w:proofErr w:type="spellStart"/>
            <w:r w:rsidR="00773039">
              <w:rPr>
                <w:iCs/>
                <w:sz w:val="16"/>
                <w:szCs w:val="20"/>
              </w:rPr>
              <w:t>if</w:t>
            </w:r>
            <w:proofErr w:type="spellEnd"/>
            <w:r w:rsidR="00773039">
              <w:rPr>
                <w:iCs/>
                <w:sz w:val="16"/>
                <w:szCs w:val="20"/>
              </w:rPr>
              <w:t xml:space="preserve"> having the MCE address, saving </w:t>
            </w:r>
            <w:proofErr w:type="spellStart"/>
            <w:r w:rsidR="00773039">
              <w:rPr>
                <w:iCs/>
                <w:sz w:val="16"/>
                <w:szCs w:val="20"/>
              </w:rPr>
              <w:t>Xn</w:t>
            </w:r>
            <w:proofErr w:type="spellEnd"/>
            <w:r w:rsidR="00773039">
              <w:rPr>
                <w:iCs/>
                <w:sz w:val="16"/>
                <w:szCs w:val="20"/>
              </w:rPr>
              <w:t xml:space="preserve"> </w:t>
            </w:r>
            <w:proofErr w:type="spellStart"/>
            <w:r w:rsidR="00773039">
              <w:rPr>
                <w:iCs/>
                <w:sz w:val="16"/>
                <w:szCs w:val="20"/>
              </w:rPr>
              <w:t>signalling</w:t>
            </w:r>
            <w:proofErr w:type="spellEnd"/>
            <w:r w:rsidR="00773039">
              <w:rPr>
                <w:iCs/>
                <w:sz w:val="16"/>
                <w:szCs w:val="20"/>
              </w:rPr>
              <w:t xml:space="preserve"> overhead.</w:t>
            </w:r>
          </w:p>
          <w:p w14:paraId="564796DF" w14:textId="77777777" w:rsidR="00D108CA" w:rsidRDefault="00D108CA" w:rsidP="00647449">
            <w:pPr>
              <w:pStyle w:val="BodyText"/>
              <w:rPr>
                <w:iCs/>
                <w:sz w:val="16"/>
                <w:szCs w:val="20"/>
              </w:rPr>
            </w:pPr>
            <w:r>
              <w:rPr>
                <w:iCs/>
                <w:sz w:val="16"/>
                <w:szCs w:val="20"/>
              </w:rPr>
              <w:t>- UE does not need to distinguish which message should be used for each QoE report.</w:t>
            </w:r>
          </w:p>
          <w:p w14:paraId="1373CC25" w14:textId="77777777" w:rsidR="00D108CA" w:rsidRDefault="00D108CA" w:rsidP="00647449">
            <w:pPr>
              <w:pStyle w:val="BodyText"/>
              <w:rPr>
                <w:iCs/>
                <w:sz w:val="16"/>
                <w:szCs w:val="20"/>
              </w:rPr>
            </w:pPr>
            <w:r>
              <w:rPr>
                <w:iCs/>
                <w:sz w:val="16"/>
                <w:szCs w:val="20"/>
              </w:rPr>
              <w:t>Cos:</w:t>
            </w:r>
          </w:p>
          <w:p w14:paraId="5C6B66D4" w14:textId="77777777" w:rsidR="00D108CA" w:rsidRPr="00647449" w:rsidRDefault="00D108CA" w:rsidP="00647449">
            <w:pPr>
              <w:pStyle w:val="BodyText"/>
              <w:rPr>
                <w:iCs/>
                <w:sz w:val="16"/>
                <w:szCs w:val="20"/>
              </w:rPr>
            </w:pPr>
            <w:r>
              <w:rPr>
                <w:iCs/>
                <w:sz w:val="16"/>
                <w:szCs w:val="20"/>
              </w:rPr>
              <w:t xml:space="preserve">- </w:t>
            </w:r>
            <w:r w:rsidRPr="00D35FC5">
              <w:rPr>
                <w:iCs/>
                <w:sz w:val="16"/>
                <w:szCs w:val="20"/>
              </w:rPr>
              <w:t>RVQoE measurements could be visible to the receiving RAN node</w:t>
            </w:r>
            <w:r>
              <w:rPr>
                <w:iCs/>
                <w:sz w:val="16"/>
                <w:szCs w:val="20"/>
              </w:rPr>
              <w:t>.</w:t>
            </w:r>
          </w:p>
        </w:tc>
      </w:tr>
      <w:tr w:rsidR="00D108CA" w:rsidRPr="00647449" w14:paraId="531278AD" w14:textId="77777777" w:rsidTr="00647449">
        <w:tc>
          <w:tcPr>
            <w:tcW w:w="1216" w:type="dxa"/>
          </w:tcPr>
          <w:p w14:paraId="124F3301" w14:textId="77777777" w:rsidR="00D108CA" w:rsidRDefault="00D108CA" w:rsidP="00647449">
            <w:pPr>
              <w:pStyle w:val="BodyText"/>
              <w:jc w:val="center"/>
              <w:rPr>
                <w:noProof/>
                <w:sz w:val="16"/>
                <w:szCs w:val="20"/>
              </w:rPr>
            </w:pPr>
            <w:r w:rsidRPr="00647449">
              <w:rPr>
                <w:noProof/>
                <w:sz w:val="16"/>
                <w:szCs w:val="20"/>
              </w:rPr>
              <w:t>Option 2</w:t>
            </w:r>
          </w:p>
          <w:p w14:paraId="03646A6F" w14:textId="77777777" w:rsidR="00D108CA" w:rsidRPr="00647449" w:rsidRDefault="00D108CA" w:rsidP="00647449">
            <w:pPr>
              <w:pStyle w:val="BodyText"/>
              <w:jc w:val="center"/>
              <w:rPr>
                <w:noProof/>
                <w:sz w:val="16"/>
                <w:szCs w:val="20"/>
              </w:rPr>
            </w:pPr>
            <w:r>
              <w:rPr>
                <w:noProof/>
                <w:sz w:val="16"/>
                <w:szCs w:val="20"/>
              </w:rPr>
              <w:t>(</w:t>
            </w:r>
            <w:r w:rsidRPr="00647449">
              <w:rPr>
                <w:noProof/>
                <w:sz w:val="16"/>
                <w:szCs w:val="20"/>
              </w:rPr>
              <w:t>ULInformationTransferMRDC</w:t>
            </w:r>
            <w:r>
              <w:rPr>
                <w:noProof/>
                <w:sz w:val="16"/>
                <w:szCs w:val="20"/>
              </w:rPr>
              <w:t>)</w:t>
            </w:r>
          </w:p>
        </w:tc>
        <w:tc>
          <w:tcPr>
            <w:tcW w:w="1929" w:type="dxa"/>
          </w:tcPr>
          <w:p w14:paraId="3E53D939" w14:textId="77777777" w:rsidR="00D108CA" w:rsidRPr="00647449" w:rsidRDefault="00D108CA" w:rsidP="00647449">
            <w:pPr>
              <w:pStyle w:val="BodyText"/>
              <w:rPr>
                <w:noProof/>
                <w:sz w:val="16"/>
                <w:szCs w:val="20"/>
              </w:rPr>
            </w:pPr>
            <w:r w:rsidRPr="00647449">
              <w:rPr>
                <w:noProof/>
                <w:sz w:val="16"/>
                <w:szCs w:val="20"/>
              </w:rPr>
              <w:t xml:space="preserve">Forwards the </w:t>
            </w:r>
            <w:r w:rsidRPr="00647449">
              <w:rPr>
                <w:sz w:val="16"/>
                <w:szCs w:val="20"/>
              </w:rPr>
              <w:t xml:space="preserve">MeasurementReportAppLayer container in </w:t>
            </w:r>
            <w:r w:rsidRPr="00647449">
              <w:rPr>
                <w:noProof/>
                <w:sz w:val="16"/>
                <w:szCs w:val="20"/>
              </w:rPr>
              <w:t xml:space="preserve">ULInformationTransferMRDC message to the </w:t>
            </w:r>
            <w:r>
              <w:rPr>
                <w:noProof/>
                <w:sz w:val="16"/>
                <w:szCs w:val="20"/>
              </w:rPr>
              <w:t>non-receiving</w:t>
            </w:r>
            <w:r w:rsidRPr="00647449">
              <w:rPr>
                <w:noProof/>
                <w:sz w:val="16"/>
                <w:szCs w:val="20"/>
              </w:rPr>
              <w:t xml:space="preserve"> RAN node</w:t>
            </w:r>
          </w:p>
        </w:tc>
        <w:tc>
          <w:tcPr>
            <w:tcW w:w="2700" w:type="dxa"/>
          </w:tcPr>
          <w:p w14:paraId="31C142B0" w14:textId="77777777" w:rsidR="00D108CA" w:rsidRPr="00647449" w:rsidRDefault="00D108CA" w:rsidP="00647449">
            <w:pPr>
              <w:pStyle w:val="BodyText"/>
              <w:rPr>
                <w:noProof/>
                <w:sz w:val="16"/>
                <w:szCs w:val="20"/>
              </w:rPr>
            </w:pPr>
            <w:r w:rsidRPr="00647449">
              <w:rPr>
                <w:noProof/>
                <w:sz w:val="16"/>
                <w:szCs w:val="20"/>
              </w:rPr>
              <w:t>Determine which message should be used for each QoE configuration, i.e,</w:t>
            </w:r>
          </w:p>
          <w:p w14:paraId="5E2831C0" w14:textId="77777777" w:rsidR="00D108CA" w:rsidRDefault="00D108CA" w:rsidP="00647449">
            <w:pPr>
              <w:pStyle w:val="BodyText"/>
              <w:rPr>
                <w:iCs/>
                <w:sz w:val="16"/>
                <w:szCs w:val="20"/>
              </w:rPr>
            </w:pPr>
            <w:r w:rsidRPr="00647449">
              <w:rPr>
                <w:noProof/>
                <w:sz w:val="16"/>
                <w:szCs w:val="20"/>
              </w:rPr>
              <w:t>-</w:t>
            </w:r>
            <w:r>
              <w:rPr>
                <w:noProof/>
                <w:sz w:val="16"/>
                <w:szCs w:val="20"/>
              </w:rPr>
              <w:t>S</w:t>
            </w:r>
            <w:r w:rsidRPr="00647449">
              <w:rPr>
                <w:noProof/>
                <w:sz w:val="16"/>
                <w:szCs w:val="20"/>
              </w:rPr>
              <w:t xml:space="preserve">end </w:t>
            </w:r>
            <w:r w:rsidRPr="00647449">
              <w:rPr>
                <w:i/>
                <w:sz w:val="16"/>
                <w:szCs w:val="20"/>
              </w:rPr>
              <w:t xml:space="preserve">MeasurementReportAppLayer </w:t>
            </w:r>
            <w:r w:rsidRPr="00647449">
              <w:rPr>
                <w:iCs/>
                <w:sz w:val="16"/>
                <w:szCs w:val="20"/>
              </w:rPr>
              <w:t xml:space="preserve">message if the QoE report is associated with the receiving RAN </w:t>
            </w:r>
            <w:proofErr w:type="gramStart"/>
            <w:r w:rsidRPr="00647449">
              <w:rPr>
                <w:iCs/>
                <w:sz w:val="16"/>
                <w:szCs w:val="20"/>
              </w:rPr>
              <w:t>node;</w:t>
            </w:r>
            <w:proofErr w:type="gramEnd"/>
          </w:p>
          <w:p w14:paraId="47098E75" w14:textId="77777777" w:rsidR="00D108CA" w:rsidRPr="00647449" w:rsidRDefault="00D108CA" w:rsidP="00647449">
            <w:pPr>
              <w:pStyle w:val="BodyText"/>
              <w:rPr>
                <w:iCs/>
                <w:sz w:val="16"/>
                <w:szCs w:val="20"/>
              </w:rPr>
            </w:pPr>
            <w:r>
              <w:rPr>
                <w:iCs/>
                <w:sz w:val="16"/>
                <w:szCs w:val="20"/>
              </w:rPr>
              <w:t xml:space="preserve">-Send </w:t>
            </w:r>
            <w:r w:rsidRPr="00101BCC">
              <w:rPr>
                <w:iCs/>
                <w:sz w:val="16"/>
                <w:szCs w:val="20"/>
              </w:rPr>
              <w:t>ULInformationTransferMRDC message</w:t>
            </w:r>
            <w:r>
              <w:rPr>
                <w:iCs/>
                <w:sz w:val="16"/>
                <w:szCs w:val="20"/>
              </w:rPr>
              <w:t xml:space="preserve"> if QoE report is associated with the </w:t>
            </w:r>
            <w:r>
              <w:rPr>
                <w:noProof/>
                <w:sz w:val="16"/>
                <w:szCs w:val="20"/>
              </w:rPr>
              <w:t>non-receiving</w:t>
            </w:r>
            <w:r>
              <w:rPr>
                <w:iCs/>
                <w:sz w:val="16"/>
                <w:szCs w:val="20"/>
              </w:rPr>
              <w:t xml:space="preserve"> RAN node</w:t>
            </w:r>
          </w:p>
        </w:tc>
        <w:tc>
          <w:tcPr>
            <w:tcW w:w="3215" w:type="dxa"/>
          </w:tcPr>
          <w:p w14:paraId="54AAF412" w14:textId="77777777" w:rsidR="00D108CA" w:rsidRDefault="00D108CA" w:rsidP="00647449">
            <w:pPr>
              <w:pStyle w:val="BodyText"/>
              <w:rPr>
                <w:iCs/>
                <w:sz w:val="16"/>
                <w:szCs w:val="20"/>
              </w:rPr>
            </w:pPr>
            <w:r>
              <w:rPr>
                <w:iCs/>
                <w:sz w:val="16"/>
                <w:szCs w:val="20"/>
              </w:rPr>
              <w:t>Pros:</w:t>
            </w:r>
          </w:p>
          <w:p w14:paraId="3D624103" w14:textId="77777777" w:rsidR="00D108CA" w:rsidRDefault="00D108CA" w:rsidP="00647449">
            <w:pPr>
              <w:pStyle w:val="BodyText"/>
              <w:rPr>
                <w:noProof/>
                <w:sz w:val="16"/>
                <w:szCs w:val="20"/>
              </w:rPr>
            </w:pPr>
            <w:r>
              <w:rPr>
                <w:noProof/>
                <w:sz w:val="16"/>
                <w:szCs w:val="20"/>
              </w:rPr>
              <w:t>- Container QoE and RVQoE are tanparent to the non-receiving</w:t>
            </w:r>
            <w:r w:rsidRPr="00647449">
              <w:rPr>
                <w:noProof/>
                <w:sz w:val="16"/>
                <w:szCs w:val="20"/>
              </w:rPr>
              <w:t xml:space="preserve"> RAN node</w:t>
            </w:r>
            <w:r>
              <w:rPr>
                <w:noProof/>
                <w:sz w:val="16"/>
                <w:szCs w:val="20"/>
              </w:rPr>
              <w:t>.</w:t>
            </w:r>
          </w:p>
          <w:p w14:paraId="7D64EE32" w14:textId="77777777" w:rsidR="00D108CA" w:rsidRDefault="00D108CA" w:rsidP="00647449">
            <w:pPr>
              <w:pStyle w:val="BodyText"/>
              <w:rPr>
                <w:noProof/>
                <w:sz w:val="16"/>
                <w:szCs w:val="20"/>
              </w:rPr>
            </w:pPr>
            <w:r>
              <w:rPr>
                <w:noProof/>
                <w:sz w:val="16"/>
                <w:szCs w:val="20"/>
              </w:rPr>
              <w:t>Cos:</w:t>
            </w:r>
          </w:p>
          <w:p w14:paraId="2412F9C3" w14:textId="77777777" w:rsidR="00D108CA" w:rsidRDefault="00D108CA" w:rsidP="00647449">
            <w:pPr>
              <w:pStyle w:val="BodyText"/>
              <w:rPr>
                <w:noProof/>
                <w:sz w:val="16"/>
                <w:szCs w:val="20"/>
              </w:rPr>
            </w:pPr>
            <w:r>
              <w:rPr>
                <w:noProof/>
                <w:sz w:val="16"/>
                <w:szCs w:val="20"/>
              </w:rPr>
              <w:t>- UE needs to be able to distinguish which message should be used for each QoE report</w:t>
            </w:r>
          </w:p>
          <w:p w14:paraId="2F862048" w14:textId="5DC80771" w:rsidR="00753550" w:rsidRDefault="00D108CA" w:rsidP="00753550">
            <w:pPr>
              <w:pStyle w:val="BodyText"/>
              <w:rPr>
                <w:iCs/>
                <w:sz w:val="16"/>
                <w:szCs w:val="20"/>
              </w:rPr>
            </w:pPr>
            <w:r>
              <w:rPr>
                <w:noProof/>
                <w:sz w:val="16"/>
                <w:szCs w:val="20"/>
              </w:rPr>
              <w:t xml:space="preserve">- </w:t>
            </w:r>
            <w:r w:rsidR="00753550">
              <w:rPr>
                <w:iCs/>
                <w:sz w:val="16"/>
                <w:szCs w:val="20"/>
              </w:rPr>
              <w:t>T</w:t>
            </w:r>
            <w:r w:rsidR="00753550" w:rsidRPr="00D2721A">
              <w:rPr>
                <w:iCs/>
                <w:sz w:val="16"/>
                <w:szCs w:val="20"/>
              </w:rPr>
              <w:t xml:space="preserve">he receiving RAN node </w:t>
            </w:r>
            <w:proofErr w:type="gramStart"/>
            <w:r w:rsidR="004825D8">
              <w:rPr>
                <w:iCs/>
                <w:sz w:val="16"/>
                <w:szCs w:val="20"/>
              </w:rPr>
              <w:t>has</w:t>
            </w:r>
            <w:r w:rsidR="00753550" w:rsidRPr="00D2721A">
              <w:rPr>
                <w:iCs/>
                <w:sz w:val="16"/>
                <w:szCs w:val="20"/>
              </w:rPr>
              <w:t xml:space="preserve"> to</w:t>
            </w:r>
            <w:proofErr w:type="gramEnd"/>
            <w:r w:rsidR="00753550" w:rsidRPr="00D2721A">
              <w:rPr>
                <w:iCs/>
                <w:sz w:val="16"/>
                <w:szCs w:val="20"/>
              </w:rPr>
              <w:t xml:space="preserve"> forward to the non-receiving RAN node</w:t>
            </w:r>
            <w:r w:rsidR="00753550">
              <w:rPr>
                <w:iCs/>
                <w:sz w:val="16"/>
                <w:szCs w:val="20"/>
              </w:rPr>
              <w:t xml:space="preserve"> </w:t>
            </w:r>
            <w:r w:rsidR="004825D8">
              <w:rPr>
                <w:iCs/>
                <w:sz w:val="16"/>
                <w:szCs w:val="20"/>
              </w:rPr>
              <w:t>even</w:t>
            </w:r>
            <w:r w:rsidR="00753550">
              <w:rPr>
                <w:iCs/>
                <w:sz w:val="16"/>
                <w:szCs w:val="20"/>
              </w:rPr>
              <w:t xml:space="preserve"> having the MCE address, </w:t>
            </w:r>
            <w:r w:rsidR="004825D8">
              <w:rPr>
                <w:iCs/>
                <w:sz w:val="16"/>
                <w:szCs w:val="20"/>
              </w:rPr>
              <w:t>cost</w:t>
            </w:r>
            <w:r w:rsidR="00753550">
              <w:rPr>
                <w:iCs/>
                <w:sz w:val="16"/>
                <w:szCs w:val="20"/>
              </w:rPr>
              <w:t xml:space="preserve"> </w:t>
            </w:r>
            <w:proofErr w:type="spellStart"/>
            <w:r w:rsidR="00753550">
              <w:rPr>
                <w:iCs/>
                <w:sz w:val="16"/>
                <w:szCs w:val="20"/>
              </w:rPr>
              <w:t>Xn</w:t>
            </w:r>
            <w:proofErr w:type="spellEnd"/>
            <w:r w:rsidR="00753550">
              <w:rPr>
                <w:iCs/>
                <w:sz w:val="16"/>
                <w:szCs w:val="20"/>
              </w:rPr>
              <w:t xml:space="preserve"> </w:t>
            </w:r>
            <w:proofErr w:type="spellStart"/>
            <w:r w:rsidR="00753550">
              <w:rPr>
                <w:iCs/>
                <w:sz w:val="16"/>
                <w:szCs w:val="20"/>
              </w:rPr>
              <w:t>signalling</w:t>
            </w:r>
            <w:proofErr w:type="spellEnd"/>
            <w:r w:rsidR="00753550">
              <w:rPr>
                <w:iCs/>
                <w:sz w:val="16"/>
                <w:szCs w:val="20"/>
              </w:rPr>
              <w:t xml:space="preserve"> overhead.</w:t>
            </w:r>
          </w:p>
          <w:p w14:paraId="07048296" w14:textId="7A124F73" w:rsidR="00D108CA" w:rsidRPr="007E3E0F" w:rsidRDefault="00761FF9" w:rsidP="00647449">
            <w:pPr>
              <w:pStyle w:val="BodyText"/>
              <w:rPr>
                <w:iCs/>
                <w:sz w:val="16"/>
                <w:szCs w:val="20"/>
              </w:rPr>
            </w:pPr>
            <w:r>
              <w:rPr>
                <w:iCs/>
                <w:sz w:val="16"/>
                <w:szCs w:val="20"/>
              </w:rPr>
              <w:t xml:space="preserve">- UE </w:t>
            </w:r>
            <w:proofErr w:type="gramStart"/>
            <w:r>
              <w:rPr>
                <w:iCs/>
                <w:sz w:val="16"/>
                <w:szCs w:val="20"/>
              </w:rPr>
              <w:t>has to</w:t>
            </w:r>
            <w:proofErr w:type="gramEnd"/>
            <w:r>
              <w:rPr>
                <w:iCs/>
                <w:sz w:val="16"/>
                <w:szCs w:val="20"/>
              </w:rPr>
              <w:t xml:space="preserve"> send two type messages when reporting both of MN and SN associated </w:t>
            </w:r>
            <w:proofErr w:type="spellStart"/>
            <w:r>
              <w:rPr>
                <w:iCs/>
                <w:sz w:val="16"/>
                <w:szCs w:val="20"/>
              </w:rPr>
              <w:t>QoE</w:t>
            </w:r>
            <w:proofErr w:type="spellEnd"/>
            <w:r>
              <w:rPr>
                <w:iCs/>
                <w:sz w:val="16"/>
                <w:szCs w:val="20"/>
              </w:rPr>
              <w:t xml:space="preserve"> configuration.</w:t>
            </w:r>
          </w:p>
        </w:tc>
      </w:tr>
    </w:tbl>
    <w:p w14:paraId="2B723C42" w14:textId="37C78C02" w:rsidR="00D92DA6" w:rsidRDefault="00750E20" w:rsidP="00D108CA">
      <w:pPr>
        <w:pStyle w:val="BodyText"/>
        <w:jc w:val="left"/>
        <w:rPr>
          <w:iCs/>
        </w:rPr>
      </w:pPr>
      <w:r>
        <w:rPr>
          <w:iCs/>
        </w:rPr>
        <w:t xml:space="preserve">For container based </w:t>
      </w:r>
      <w:proofErr w:type="spellStart"/>
      <w:r>
        <w:rPr>
          <w:iCs/>
        </w:rPr>
        <w:t>QoE</w:t>
      </w:r>
      <w:proofErr w:type="spellEnd"/>
      <w:r>
        <w:rPr>
          <w:iCs/>
        </w:rPr>
        <w:t xml:space="preserve">, </w:t>
      </w:r>
      <w:r w:rsidR="00D92DA6">
        <w:rPr>
          <w:iCs/>
        </w:rPr>
        <w:t>c</w:t>
      </w:r>
      <w:r w:rsidR="00D108CA" w:rsidRPr="00647449">
        <w:rPr>
          <w:iCs/>
        </w:rPr>
        <w:t xml:space="preserve">onsidering the pros and cons of option 1 and option 2, </w:t>
      </w:r>
      <w:r w:rsidR="00D92DA6">
        <w:rPr>
          <w:iCs/>
        </w:rPr>
        <w:t xml:space="preserve">it is more beneficial </w:t>
      </w:r>
      <w:r w:rsidR="00D108CA" w:rsidRPr="00647449">
        <w:rPr>
          <w:iCs/>
        </w:rPr>
        <w:t xml:space="preserve">to use option 1 </w:t>
      </w:r>
      <w:proofErr w:type="gramStart"/>
      <w:r w:rsidR="00D108CA" w:rsidRPr="00647449">
        <w:rPr>
          <w:iCs/>
        </w:rPr>
        <w:t>i.e.</w:t>
      </w:r>
      <w:proofErr w:type="gramEnd"/>
      <w:r w:rsidR="00D108CA" w:rsidRPr="00647449">
        <w:rPr>
          <w:iCs/>
        </w:rPr>
        <w:t xml:space="preserve"> </w:t>
      </w:r>
      <w:r w:rsidR="00D108CA" w:rsidRPr="00647449">
        <w:rPr>
          <w:i/>
        </w:rPr>
        <w:t>MeasurementReportAppLayer</w:t>
      </w:r>
      <w:r w:rsidR="00D108CA" w:rsidRPr="00647449">
        <w:rPr>
          <w:iCs/>
        </w:rPr>
        <w:t xml:space="preserve"> message to send container QoE report. </w:t>
      </w:r>
    </w:p>
    <w:p w14:paraId="06AC69EE" w14:textId="7D52EF28" w:rsidR="00D108CA" w:rsidRDefault="00D108CA" w:rsidP="00D108CA">
      <w:pPr>
        <w:pStyle w:val="BodyText"/>
        <w:jc w:val="left"/>
        <w:rPr>
          <w:iCs/>
        </w:rPr>
      </w:pPr>
      <w:r w:rsidRPr="00647449">
        <w:rPr>
          <w:iCs/>
        </w:rPr>
        <w:t xml:space="preserve">For </w:t>
      </w:r>
      <w:proofErr w:type="spellStart"/>
      <w:r w:rsidRPr="00647449">
        <w:rPr>
          <w:iCs/>
        </w:rPr>
        <w:t>RVQoE</w:t>
      </w:r>
      <w:proofErr w:type="spellEnd"/>
      <w:r w:rsidRPr="00647449">
        <w:rPr>
          <w:iCs/>
        </w:rPr>
        <w:t xml:space="preserve">, </w:t>
      </w:r>
      <w:r>
        <w:rPr>
          <w:iCs/>
        </w:rPr>
        <w:t xml:space="preserve">the issue of option 1 is RVQoE measurements are visible to the receiving RAN node, it is proposed to </w:t>
      </w:r>
      <w:r w:rsidRPr="00647449">
        <w:rPr>
          <w:iCs/>
        </w:rPr>
        <w:t>send LS to ask RAN3 whether the RVQoE measurement associated with the non-receiving RAN node</w:t>
      </w:r>
      <w:r>
        <w:rPr>
          <w:iCs/>
        </w:rPr>
        <w:t xml:space="preserve"> can be visible to the receiving RAN node</w:t>
      </w:r>
      <w:r w:rsidR="00D92DA6">
        <w:rPr>
          <w:iCs/>
        </w:rPr>
        <w:t>, and then RAN2 can determine which message should be used.</w:t>
      </w:r>
    </w:p>
    <w:p w14:paraId="05BF041E" w14:textId="32D87C1E" w:rsidR="00164D4B" w:rsidRPr="00647449" w:rsidRDefault="00164D4B" w:rsidP="00164D4B">
      <w:pPr>
        <w:pStyle w:val="BodyText"/>
        <w:jc w:val="left"/>
        <w:rPr>
          <w:b/>
          <w:bCs/>
          <w:iCs/>
        </w:rPr>
      </w:pPr>
      <w:r w:rsidRPr="00647449">
        <w:rPr>
          <w:b/>
          <w:bCs/>
          <w:iCs/>
        </w:rPr>
        <w:t>Proposal 1: For container based on QoE report associated</w:t>
      </w:r>
      <w:r>
        <w:rPr>
          <w:b/>
          <w:bCs/>
          <w:iCs/>
        </w:rPr>
        <w:t xml:space="preserve"> with </w:t>
      </w:r>
      <w:r w:rsidRPr="00647449">
        <w:rPr>
          <w:b/>
          <w:bCs/>
          <w:iCs/>
        </w:rPr>
        <w:t>the non-receiving RAN node</w:t>
      </w:r>
      <w:r w:rsidR="00FA2F8D">
        <w:rPr>
          <w:b/>
          <w:bCs/>
          <w:iCs/>
        </w:rPr>
        <w:t xml:space="preserve">, </w:t>
      </w:r>
      <w:r>
        <w:rPr>
          <w:b/>
          <w:bCs/>
          <w:iCs/>
        </w:rPr>
        <w:t>u</w:t>
      </w:r>
      <w:r w:rsidRPr="00647449">
        <w:rPr>
          <w:b/>
          <w:bCs/>
          <w:iCs/>
        </w:rPr>
        <w:t>se option 1 (</w:t>
      </w:r>
      <w:proofErr w:type="spellStart"/>
      <w:r w:rsidRPr="00647449">
        <w:rPr>
          <w:b/>
          <w:bCs/>
          <w:iCs/>
        </w:rPr>
        <w:t>i.</w:t>
      </w:r>
      <w:proofErr w:type="gramStart"/>
      <w:r w:rsidRPr="00647449">
        <w:rPr>
          <w:b/>
          <w:bCs/>
          <w:iCs/>
        </w:rPr>
        <w:t>e.</w:t>
      </w:r>
      <w:r w:rsidRPr="00647449">
        <w:rPr>
          <w:b/>
          <w:bCs/>
          <w:i/>
        </w:rPr>
        <w:t>MeasurementReportAppLayer</w:t>
      </w:r>
      <w:proofErr w:type="spellEnd"/>
      <w:proofErr w:type="gramEnd"/>
      <w:r w:rsidRPr="00647449">
        <w:rPr>
          <w:b/>
          <w:bCs/>
          <w:iCs/>
        </w:rPr>
        <w:t xml:space="preserve"> message)  to send </w:t>
      </w:r>
      <w:r>
        <w:rPr>
          <w:b/>
          <w:bCs/>
          <w:iCs/>
        </w:rPr>
        <w:t>to the receiving RAN node</w:t>
      </w:r>
      <w:r w:rsidRPr="00647449">
        <w:rPr>
          <w:b/>
          <w:bCs/>
          <w:iCs/>
        </w:rPr>
        <w:t>.</w:t>
      </w:r>
    </w:p>
    <w:p w14:paraId="07A4E0AA" w14:textId="361E4BDD" w:rsidR="00D108CA" w:rsidRPr="00133F35" w:rsidRDefault="00D108CA" w:rsidP="00D108CA">
      <w:pPr>
        <w:pStyle w:val="BodyText"/>
        <w:jc w:val="left"/>
        <w:rPr>
          <w:b/>
          <w:bCs/>
          <w:iCs/>
        </w:rPr>
      </w:pPr>
      <w:r w:rsidRPr="00133F35">
        <w:rPr>
          <w:b/>
          <w:bCs/>
          <w:iCs/>
        </w:rPr>
        <w:t xml:space="preserve">Proposal </w:t>
      </w:r>
      <w:r w:rsidR="00287374" w:rsidRPr="00133F35">
        <w:rPr>
          <w:b/>
          <w:bCs/>
          <w:iCs/>
        </w:rPr>
        <w:t>2</w:t>
      </w:r>
      <w:r w:rsidRPr="00133F35">
        <w:rPr>
          <w:b/>
          <w:bCs/>
          <w:iCs/>
        </w:rPr>
        <w:t xml:space="preserve">: </w:t>
      </w:r>
      <w:r w:rsidR="00FA2F8D">
        <w:rPr>
          <w:b/>
          <w:bCs/>
          <w:iCs/>
        </w:rPr>
        <w:t>S</w:t>
      </w:r>
      <w:r w:rsidRPr="00133F35">
        <w:rPr>
          <w:b/>
          <w:bCs/>
          <w:iCs/>
        </w:rPr>
        <w:t>end LS to ask RAN3 whether the RVQoE measurement associated with the non-receiving RAN node can be visible to the receiving RAN node.</w:t>
      </w:r>
    </w:p>
    <w:p w14:paraId="3B420295" w14:textId="6464EBE0" w:rsidR="00EF5440" w:rsidRPr="00315588" w:rsidRDefault="00DF1A7C" w:rsidP="00315588">
      <w:pPr>
        <w:pStyle w:val="Heading1"/>
        <w:numPr>
          <w:ilvl w:val="0"/>
          <w:numId w:val="0"/>
        </w:numPr>
        <w:ind w:left="567" w:hanging="567"/>
        <w:rPr>
          <w:b w:val="0"/>
          <w:bCs w:val="0"/>
        </w:rPr>
      </w:pPr>
      <w:r w:rsidRPr="00315588">
        <w:rPr>
          <w:b w:val="0"/>
          <w:bCs w:val="0"/>
        </w:rPr>
        <w:lastRenderedPageBreak/>
        <w:t>2.</w:t>
      </w:r>
      <w:r w:rsidR="00D108CA">
        <w:rPr>
          <w:b w:val="0"/>
          <w:bCs w:val="0"/>
        </w:rPr>
        <w:t>2</w:t>
      </w:r>
      <w:r w:rsidR="00D108CA" w:rsidRPr="00315588">
        <w:rPr>
          <w:b w:val="0"/>
          <w:bCs w:val="0"/>
        </w:rPr>
        <w:t xml:space="preserve"> </w:t>
      </w:r>
      <w:r w:rsidR="00EF5440" w:rsidRPr="00315588">
        <w:rPr>
          <w:b w:val="0"/>
          <w:bCs w:val="0"/>
        </w:rPr>
        <w:t>QoE handling during NR-DC mobility</w:t>
      </w:r>
    </w:p>
    <w:p w14:paraId="25D33808" w14:textId="40D6F06E" w:rsidR="00460F0D" w:rsidRDefault="00DB0E76" w:rsidP="00EF5440">
      <w:pPr>
        <w:pStyle w:val="BodyText"/>
        <w:rPr>
          <w:iCs/>
        </w:rPr>
      </w:pPr>
      <w:r w:rsidRPr="00901948">
        <w:rPr>
          <w:iCs/>
        </w:rPr>
        <w:t xml:space="preserve">In last RAN2 meeting, </w:t>
      </w:r>
      <w:r w:rsidR="0023124A">
        <w:rPr>
          <w:iCs/>
        </w:rPr>
        <w:t>t</w:t>
      </w:r>
      <w:r w:rsidR="004F147C">
        <w:rPr>
          <w:iCs/>
        </w:rPr>
        <w:t xml:space="preserve">here are some agreements achieved on </w:t>
      </w:r>
      <w:r w:rsidR="006316D0">
        <w:rPr>
          <w:iCs/>
        </w:rPr>
        <w:t>which RB should be used for QoE report.</w:t>
      </w:r>
    </w:p>
    <w:p w14:paraId="55226D58" w14:textId="77777777" w:rsidR="00151DED" w:rsidRPr="00C3703D" w:rsidRDefault="00151DED" w:rsidP="00901948">
      <w:pPr>
        <w:pStyle w:val="Agreement"/>
        <w:pBdr>
          <w:top w:val="single" w:sz="4" w:space="1" w:color="auto"/>
          <w:left w:val="single" w:sz="4" w:space="4" w:color="auto"/>
          <w:bottom w:val="single" w:sz="4" w:space="1" w:color="auto"/>
          <w:right w:val="single" w:sz="4" w:space="4" w:color="auto"/>
        </w:pBdr>
        <w:tabs>
          <w:tab w:val="clear" w:pos="810"/>
          <w:tab w:val="num" w:pos="1619"/>
        </w:tabs>
        <w:ind w:left="1619"/>
      </w:pPr>
      <w:r w:rsidRPr="00C3703D">
        <w:t xml:space="preserve">1: The network can use </w:t>
      </w:r>
      <w:r>
        <w:t xml:space="preserve">explicit </w:t>
      </w:r>
      <w:r w:rsidRPr="00C3703D">
        <w:t xml:space="preserve">indication per QoE config to indicate </w:t>
      </w:r>
      <w:r>
        <w:t xml:space="preserve">which SRB is used </w:t>
      </w:r>
      <w:r w:rsidRPr="00C3703D">
        <w:t>for the QoE reporting.</w:t>
      </w:r>
      <w:r>
        <w:t xml:space="preserve"> Details can be discussed in Stage-3.</w:t>
      </w:r>
    </w:p>
    <w:p w14:paraId="1DC163D7" w14:textId="77777777" w:rsidR="00450B54" w:rsidRDefault="006A4DA7" w:rsidP="00EF5440">
      <w:pPr>
        <w:pStyle w:val="BodyText"/>
        <w:rPr>
          <w:iCs/>
        </w:rPr>
      </w:pPr>
      <w:r>
        <w:rPr>
          <w:iCs/>
        </w:rPr>
        <w:t>T</w:t>
      </w:r>
      <w:r w:rsidR="0023124A" w:rsidRPr="001A55D9">
        <w:rPr>
          <w:iCs/>
        </w:rPr>
        <w:t>here was discussion on how the QoE report transmission should be handled</w:t>
      </w:r>
      <w:r w:rsidR="0023124A">
        <w:rPr>
          <w:iCs/>
        </w:rPr>
        <w:t xml:space="preserve"> </w:t>
      </w:r>
      <w:proofErr w:type="gramStart"/>
      <w:r w:rsidR="0023124A">
        <w:rPr>
          <w:iCs/>
        </w:rPr>
        <w:t>e.g.</w:t>
      </w:r>
      <w:proofErr w:type="gramEnd"/>
      <w:r w:rsidR="0023124A">
        <w:rPr>
          <w:iCs/>
        </w:rPr>
        <w:t xml:space="preserve"> if the QoE report is not configured to use the currently configured SRB </w:t>
      </w:r>
      <w:r>
        <w:rPr>
          <w:iCs/>
        </w:rPr>
        <w:t>but</w:t>
      </w:r>
      <w:r w:rsidR="0023124A">
        <w:rPr>
          <w:iCs/>
        </w:rPr>
        <w:t xml:space="preserve"> no agreement achieved.</w:t>
      </w:r>
      <w:r w:rsidR="00925826">
        <w:rPr>
          <w:iCs/>
        </w:rPr>
        <w:t xml:space="preserve"> </w:t>
      </w:r>
      <w:r w:rsidR="006B3899">
        <w:rPr>
          <w:iCs/>
        </w:rPr>
        <w:t>The issue is when some QoE configuration</w:t>
      </w:r>
      <w:r w:rsidR="00255FEF">
        <w:rPr>
          <w:iCs/>
        </w:rPr>
        <w:t>s are configured to be reported</w:t>
      </w:r>
      <w:r w:rsidR="003F6E7F">
        <w:rPr>
          <w:iCs/>
        </w:rPr>
        <w:t xml:space="preserve"> over SRB4 or SRB5, but SRB4 or SRB5 is not available, how the UE should report</w:t>
      </w:r>
      <w:r w:rsidR="002711AF">
        <w:rPr>
          <w:iCs/>
        </w:rPr>
        <w:t xml:space="preserve"> measurements for those QoE configurations.</w:t>
      </w:r>
      <w:r w:rsidR="00A55BA3">
        <w:rPr>
          <w:iCs/>
        </w:rPr>
        <w:t xml:space="preserve"> </w:t>
      </w:r>
    </w:p>
    <w:p w14:paraId="278CF191" w14:textId="50CECC08" w:rsidR="00F266B6" w:rsidRDefault="002F4BCE" w:rsidP="00EF5440">
      <w:pPr>
        <w:pStyle w:val="BodyText"/>
        <w:rPr>
          <w:iCs/>
        </w:rPr>
      </w:pPr>
      <w:r>
        <w:rPr>
          <w:iCs/>
        </w:rPr>
        <w:t xml:space="preserve">According to RAN2 and RAN3 progress, the </w:t>
      </w:r>
      <w:r w:rsidR="00E03729">
        <w:rPr>
          <w:iCs/>
        </w:rPr>
        <w:t>management based QoE configuration could be configured to UE using SRB1 or SRB3, and the QoE reporting could be configured over SRB4 or SRB5</w:t>
      </w:r>
      <w:r w:rsidR="00393504">
        <w:rPr>
          <w:iCs/>
        </w:rPr>
        <w:t xml:space="preserve">, </w:t>
      </w:r>
      <w:proofErr w:type="gramStart"/>
      <w:r w:rsidR="000F5001">
        <w:rPr>
          <w:iCs/>
        </w:rPr>
        <w:t>The</w:t>
      </w:r>
      <w:proofErr w:type="gramEnd"/>
      <w:r w:rsidR="000F5001">
        <w:rPr>
          <w:iCs/>
        </w:rPr>
        <w:t xml:space="preserve"> following figure</w:t>
      </w:r>
      <w:r w:rsidR="00A85764">
        <w:rPr>
          <w:iCs/>
        </w:rPr>
        <w:t xml:space="preserve"> 2</w:t>
      </w:r>
      <w:r w:rsidR="000F5001">
        <w:rPr>
          <w:iCs/>
        </w:rPr>
        <w:t xml:space="preserve"> shows an example</w:t>
      </w:r>
      <w:r w:rsidR="00393504">
        <w:rPr>
          <w:iCs/>
        </w:rPr>
        <w:t>.</w:t>
      </w:r>
      <w:r w:rsidR="008567AD">
        <w:rPr>
          <w:iCs/>
        </w:rPr>
        <w:t xml:space="preserve"> </w:t>
      </w:r>
    </w:p>
    <w:p w14:paraId="2A160D2F" w14:textId="0B4B17A6" w:rsidR="002F4BCE" w:rsidRDefault="008567AD" w:rsidP="00EF5440">
      <w:pPr>
        <w:pStyle w:val="BodyText"/>
        <w:rPr>
          <w:iCs/>
        </w:rPr>
      </w:pPr>
      <w:r>
        <w:rPr>
          <w:iCs/>
        </w:rPr>
        <w:t xml:space="preserve">In the scenario, </w:t>
      </w:r>
      <w:r w:rsidR="00975A53">
        <w:rPr>
          <w:iCs/>
        </w:rPr>
        <w:t>QoE 1 and QoE 2</w:t>
      </w:r>
      <w:r w:rsidR="00634437">
        <w:rPr>
          <w:iCs/>
        </w:rPr>
        <w:t xml:space="preserve"> are </w:t>
      </w:r>
      <w:r w:rsidR="00865726">
        <w:rPr>
          <w:iCs/>
        </w:rPr>
        <w:t xml:space="preserve">received </w:t>
      </w:r>
      <w:r w:rsidR="00634437">
        <w:rPr>
          <w:iCs/>
        </w:rPr>
        <w:t xml:space="preserve">in MN, while QoE 1 and QoE 3 are </w:t>
      </w:r>
      <w:r w:rsidR="00865726">
        <w:rPr>
          <w:iCs/>
        </w:rPr>
        <w:t xml:space="preserve">received </w:t>
      </w:r>
      <w:r w:rsidR="00F266B6">
        <w:rPr>
          <w:iCs/>
        </w:rPr>
        <w:t>in SN.</w:t>
      </w:r>
      <w:r w:rsidR="00AC27E5">
        <w:rPr>
          <w:iCs/>
        </w:rPr>
        <w:t xml:space="preserve"> </w:t>
      </w:r>
      <w:r w:rsidR="00865726">
        <w:rPr>
          <w:iCs/>
        </w:rPr>
        <w:t xml:space="preserve">It is not expected both of MN and SN configures the same </w:t>
      </w:r>
      <w:r w:rsidR="009D5C88">
        <w:rPr>
          <w:iCs/>
        </w:rPr>
        <w:t xml:space="preserve">QoE configuration to UE twice, so </w:t>
      </w:r>
      <w:r w:rsidR="00AC27E5">
        <w:rPr>
          <w:iCs/>
        </w:rPr>
        <w:t xml:space="preserve">MN </w:t>
      </w:r>
      <w:r w:rsidR="009D5C88">
        <w:rPr>
          <w:iCs/>
        </w:rPr>
        <w:t xml:space="preserve">will </w:t>
      </w:r>
      <w:r w:rsidR="00AC27E5">
        <w:rPr>
          <w:iCs/>
        </w:rPr>
        <w:t>coordinate with SN QoE1 is configured to UE by SN</w:t>
      </w:r>
      <w:r w:rsidR="004B023D">
        <w:rPr>
          <w:iCs/>
        </w:rPr>
        <w:t>.</w:t>
      </w:r>
      <w:r w:rsidR="00AC27E5">
        <w:rPr>
          <w:iCs/>
        </w:rPr>
        <w:t xml:space="preserve"> QoE 2</w:t>
      </w:r>
      <w:r w:rsidR="00281DE0">
        <w:rPr>
          <w:iCs/>
        </w:rPr>
        <w:t xml:space="preserve"> is </w:t>
      </w:r>
      <w:r w:rsidR="004B023D">
        <w:rPr>
          <w:iCs/>
        </w:rPr>
        <w:t xml:space="preserve">configured to be </w:t>
      </w:r>
      <w:r w:rsidR="00281DE0">
        <w:rPr>
          <w:iCs/>
        </w:rPr>
        <w:t>reported over SRB4</w:t>
      </w:r>
      <w:r w:rsidR="00667764">
        <w:rPr>
          <w:iCs/>
        </w:rPr>
        <w:t>, and QoE 1 and QoE 3</w:t>
      </w:r>
      <w:r w:rsidR="00282099">
        <w:rPr>
          <w:iCs/>
        </w:rPr>
        <w:t xml:space="preserve"> are </w:t>
      </w:r>
      <w:r w:rsidR="004B023D">
        <w:rPr>
          <w:iCs/>
        </w:rPr>
        <w:t xml:space="preserve">configured to </w:t>
      </w:r>
      <w:proofErr w:type="gramStart"/>
      <w:r w:rsidR="004B023D">
        <w:rPr>
          <w:iCs/>
        </w:rPr>
        <w:t xml:space="preserve">be </w:t>
      </w:r>
      <w:r w:rsidR="00282099">
        <w:rPr>
          <w:iCs/>
        </w:rPr>
        <w:t xml:space="preserve"> over</w:t>
      </w:r>
      <w:proofErr w:type="gramEnd"/>
      <w:r w:rsidR="00282099">
        <w:rPr>
          <w:iCs/>
        </w:rPr>
        <w:t xml:space="preserve"> SRB5</w:t>
      </w:r>
      <w:r w:rsidR="004B023D">
        <w:rPr>
          <w:iCs/>
        </w:rPr>
        <w:t>.</w:t>
      </w:r>
    </w:p>
    <w:p w14:paraId="50016A71" w14:textId="6981C521" w:rsidR="00393504" w:rsidRDefault="00EA197E" w:rsidP="00E771AA">
      <w:pPr>
        <w:pStyle w:val="BodyText"/>
        <w:jc w:val="center"/>
      </w:pPr>
      <w:r>
        <w:object w:dxaOrig="6233" w:dyaOrig="3023" w14:anchorId="04B79710">
          <v:shape id="_x0000_i1026" type="#_x0000_t75" style="width:163pt;height:79.3pt" o:ole="">
            <v:imagedata r:id="rId13" o:title=""/>
          </v:shape>
          <o:OLEObject Type="Embed" ProgID="Visio.Drawing.15" ShapeID="_x0000_i1026" DrawAspect="Content" ObjectID="_1753257804" r:id="rId14"/>
        </w:object>
      </w:r>
    </w:p>
    <w:p w14:paraId="35B54F5C" w14:textId="5AD6FF7D" w:rsidR="006C0E29" w:rsidRPr="00901948" w:rsidRDefault="006C0E29" w:rsidP="00901948">
      <w:pPr>
        <w:pStyle w:val="BodyText"/>
        <w:jc w:val="center"/>
        <w:rPr>
          <w:iCs/>
          <w:sz w:val="18"/>
          <w:szCs w:val="22"/>
        </w:rPr>
      </w:pPr>
      <w:r w:rsidRPr="00901948">
        <w:rPr>
          <w:sz w:val="18"/>
          <w:szCs w:val="22"/>
        </w:rPr>
        <w:t xml:space="preserve">Figure </w:t>
      </w:r>
      <w:r w:rsidR="00991D56">
        <w:rPr>
          <w:sz w:val="18"/>
          <w:szCs w:val="22"/>
        </w:rPr>
        <w:t>2</w:t>
      </w:r>
    </w:p>
    <w:p w14:paraId="2CAB7D60" w14:textId="434E850F" w:rsidR="00F52B16" w:rsidRPr="00901948" w:rsidRDefault="005C5312" w:rsidP="00EF5440">
      <w:pPr>
        <w:pStyle w:val="BodyText"/>
        <w:rPr>
          <w:iCs/>
        </w:rPr>
      </w:pPr>
      <w:r>
        <w:rPr>
          <w:iCs/>
        </w:rPr>
        <w:t xml:space="preserve">There are some cases related to this issue, </w:t>
      </w:r>
      <w:proofErr w:type="gramStart"/>
      <w:r>
        <w:rPr>
          <w:iCs/>
        </w:rPr>
        <w:t>e.g.</w:t>
      </w:r>
      <w:proofErr w:type="gramEnd"/>
      <w:r>
        <w:rPr>
          <w:iCs/>
        </w:rPr>
        <w:t xml:space="preserve"> in case of SCG is deactivated, SCG is released, SCG is failure, MCG is failure. In these cases, the SRB4 or SRB5 is suspended or released, so it is worthy to discuss how to handle the QoE configuration and reporting configured on the suspended or </w:t>
      </w:r>
      <w:proofErr w:type="gramStart"/>
      <w:r>
        <w:rPr>
          <w:iCs/>
        </w:rPr>
        <w:t>released  SRB</w:t>
      </w:r>
      <w:proofErr w:type="gramEnd"/>
      <w:r>
        <w:rPr>
          <w:iCs/>
        </w:rPr>
        <w:t>.</w:t>
      </w:r>
      <w:r w:rsidR="00F276F0">
        <w:rPr>
          <w:iCs/>
        </w:rPr>
        <w:t xml:space="preserve"> </w:t>
      </w:r>
    </w:p>
    <w:p w14:paraId="3A3E4327" w14:textId="789859DF" w:rsidR="00DF1A7C" w:rsidRDefault="00FA1C8E" w:rsidP="00EF5440">
      <w:pPr>
        <w:pStyle w:val="BodyText"/>
        <w:rPr>
          <w:iCs/>
          <w:u w:val="single"/>
        </w:rPr>
      </w:pPr>
      <w:r>
        <w:rPr>
          <w:iCs/>
          <w:u w:val="single"/>
        </w:rPr>
        <w:t>Case 1: SCG deactivated or re-</w:t>
      </w:r>
      <w:r w:rsidR="00331B55">
        <w:rPr>
          <w:iCs/>
          <w:u w:val="single"/>
        </w:rPr>
        <w:t>activated</w:t>
      </w:r>
    </w:p>
    <w:p w14:paraId="3FE5BBA8" w14:textId="755F1E79" w:rsidR="005243E1" w:rsidRDefault="005243E1" w:rsidP="00EF5440">
      <w:pPr>
        <w:pStyle w:val="BodyText"/>
        <w:rPr>
          <w:iCs/>
        </w:rPr>
      </w:pPr>
      <w:r w:rsidRPr="00901948">
        <w:rPr>
          <w:iCs/>
        </w:rPr>
        <w:t xml:space="preserve">The issue needs to be considered is how to </w:t>
      </w:r>
      <w:proofErr w:type="gramStart"/>
      <w:r w:rsidR="00A869EA">
        <w:rPr>
          <w:iCs/>
        </w:rPr>
        <w:t>handling</w:t>
      </w:r>
      <w:proofErr w:type="gramEnd"/>
      <w:r w:rsidR="00A869EA">
        <w:rPr>
          <w:iCs/>
        </w:rPr>
        <w:t xml:space="preserve"> QoE configuration and </w:t>
      </w:r>
      <w:r w:rsidRPr="00901948">
        <w:rPr>
          <w:iCs/>
        </w:rPr>
        <w:t xml:space="preserve">report </w:t>
      </w:r>
      <w:r w:rsidR="00A57E94">
        <w:rPr>
          <w:iCs/>
        </w:rPr>
        <w:t xml:space="preserve">for </w:t>
      </w:r>
      <w:r w:rsidRPr="00901948">
        <w:rPr>
          <w:iCs/>
        </w:rPr>
        <w:t xml:space="preserve">those QoE configurations which sere configured </w:t>
      </w:r>
      <w:r w:rsidR="00A57E94">
        <w:rPr>
          <w:iCs/>
        </w:rPr>
        <w:t xml:space="preserve">by SN or </w:t>
      </w:r>
      <w:r w:rsidRPr="00901948">
        <w:rPr>
          <w:iCs/>
        </w:rPr>
        <w:t>to be reported over SRB</w:t>
      </w:r>
      <w:r w:rsidR="00E129E6">
        <w:rPr>
          <w:iCs/>
        </w:rPr>
        <w:t>5</w:t>
      </w:r>
      <w:r w:rsidR="00151288" w:rsidRPr="00901948">
        <w:rPr>
          <w:iCs/>
        </w:rPr>
        <w:t>.</w:t>
      </w:r>
    </w:p>
    <w:p w14:paraId="7E59A209" w14:textId="25902CFC" w:rsidR="00A869EA" w:rsidRPr="00901948" w:rsidRDefault="00A869EA" w:rsidP="00EF5440">
      <w:pPr>
        <w:pStyle w:val="BodyText"/>
        <w:rPr>
          <w:iCs/>
        </w:rPr>
      </w:pPr>
      <w:r>
        <w:rPr>
          <w:iCs/>
        </w:rPr>
        <w:t xml:space="preserve">For those QoE configurations which are configured </w:t>
      </w:r>
      <w:r w:rsidR="00A57E94">
        <w:rPr>
          <w:iCs/>
        </w:rPr>
        <w:t>by SN or configured to be reported over SRB5,</w:t>
      </w:r>
      <w:r w:rsidR="00BE7EE1">
        <w:rPr>
          <w:iCs/>
        </w:rPr>
        <w:t xml:space="preserve"> UE should keep the QoE configurations.</w:t>
      </w:r>
    </w:p>
    <w:p w14:paraId="241ACBE6" w14:textId="7A377275" w:rsidR="00FA1C8E" w:rsidRDefault="000D02FA" w:rsidP="00EF5440">
      <w:pPr>
        <w:pStyle w:val="BodyText"/>
        <w:rPr>
          <w:iCs/>
        </w:rPr>
      </w:pPr>
      <w:r w:rsidRPr="00901948">
        <w:rPr>
          <w:iCs/>
        </w:rPr>
        <w:t xml:space="preserve">In existing NR-DC, during SCG deactivation, UE will indicate to MN there is UL data for SCG bearer, and then MN could re-activate SCG bearer. </w:t>
      </w:r>
      <w:proofErr w:type="gramStart"/>
      <w:r w:rsidRPr="00901948">
        <w:rPr>
          <w:iCs/>
        </w:rPr>
        <w:t xml:space="preserve">For QoE reporting in NR-DC, </w:t>
      </w:r>
      <w:r w:rsidR="001E26C7">
        <w:rPr>
          <w:iCs/>
        </w:rPr>
        <w:t>there</w:t>
      </w:r>
      <w:proofErr w:type="gramEnd"/>
      <w:r w:rsidR="001E26C7">
        <w:rPr>
          <w:iCs/>
        </w:rPr>
        <w:t xml:space="preserve"> is a bit difference</w:t>
      </w:r>
      <w:r w:rsidR="00684F0E">
        <w:rPr>
          <w:iCs/>
        </w:rPr>
        <w:t xml:space="preserve"> with existing SCG DRB, and the QoE data sent to</w:t>
      </w:r>
      <w:r w:rsidR="00F44CE6">
        <w:rPr>
          <w:iCs/>
        </w:rPr>
        <w:t xml:space="preserve"> SN could be forwarded to MN and then MN forwards to MCE.</w:t>
      </w:r>
      <w:r w:rsidR="000B1EDB">
        <w:rPr>
          <w:iCs/>
        </w:rPr>
        <w:t xml:space="preserve"> Then there could be several options</w:t>
      </w:r>
      <w:r w:rsidR="0076484B">
        <w:rPr>
          <w:iCs/>
        </w:rPr>
        <w:t>.</w:t>
      </w:r>
    </w:p>
    <w:p w14:paraId="3C2EDA81" w14:textId="6B71FD19" w:rsidR="0076484B" w:rsidRDefault="0076484B" w:rsidP="00EF5440">
      <w:pPr>
        <w:pStyle w:val="BodyText"/>
        <w:rPr>
          <w:iCs/>
        </w:rPr>
      </w:pPr>
      <w:r>
        <w:rPr>
          <w:iCs/>
        </w:rPr>
        <w:t xml:space="preserve">Option 1: </w:t>
      </w:r>
      <w:r w:rsidR="003B1887">
        <w:rPr>
          <w:iCs/>
        </w:rPr>
        <w:t xml:space="preserve">Reuse existing procedure that </w:t>
      </w:r>
      <w:r>
        <w:rPr>
          <w:iCs/>
        </w:rPr>
        <w:t xml:space="preserve">UE indicates to MN there is </w:t>
      </w:r>
      <w:r w:rsidR="003B1887">
        <w:rPr>
          <w:iCs/>
        </w:rPr>
        <w:t>SCG bearer (QoE date) to be reported, and MN can re-</w:t>
      </w:r>
      <w:r w:rsidR="00875017">
        <w:rPr>
          <w:iCs/>
        </w:rPr>
        <w:t>activate SCG or reconfigure QoE reporting over SRB4.</w:t>
      </w:r>
    </w:p>
    <w:p w14:paraId="0F078E10" w14:textId="4F177878" w:rsidR="00EE5CA2" w:rsidRDefault="00EE5CA2" w:rsidP="00EF5440">
      <w:pPr>
        <w:pStyle w:val="BodyText"/>
        <w:rPr>
          <w:iCs/>
        </w:rPr>
      </w:pPr>
      <w:r>
        <w:rPr>
          <w:iCs/>
        </w:rPr>
        <w:t>Option 2:</w:t>
      </w:r>
      <w:r w:rsidR="006914CF">
        <w:rPr>
          <w:iCs/>
        </w:rPr>
        <w:t xml:space="preserve"> MN indicate</w:t>
      </w:r>
      <w:r w:rsidR="005243E1">
        <w:rPr>
          <w:iCs/>
        </w:rPr>
        <w:t>s</w:t>
      </w:r>
      <w:r w:rsidR="006914CF">
        <w:rPr>
          <w:iCs/>
        </w:rPr>
        <w:t xml:space="preserve"> whether</w:t>
      </w:r>
      <w:r w:rsidR="00B01023">
        <w:rPr>
          <w:iCs/>
        </w:rPr>
        <w:t xml:space="preserve"> and which QoE configurations</w:t>
      </w:r>
      <w:r w:rsidR="006914CF">
        <w:rPr>
          <w:iCs/>
        </w:rPr>
        <w:t xml:space="preserve"> UE can</w:t>
      </w:r>
      <w:r w:rsidR="005243E1">
        <w:rPr>
          <w:iCs/>
        </w:rPr>
        <w:t xml:space="preserve"> report</w:t>
      </w:r>
      <w:r w:rsidR="005949B7">
        <w:rPr>
          <w:iCs/>
        </w:rPr>
        <w:t xml:space="preserve"> over SRB4</w:t>
      </w:r>
      <w:r w:rsidR="00F13FBA">
        <w:rPr>
          <w:iCs/>
        </w:rPr>
        <w:t xml:space="preserve"> when deactivating </w:t>
      </w:r>
      <w:r w:rsidR="00544603">
        <w:rPr>
          <w:iCs/>
        </w:rPr>
        <w:t>SCG</w:t>
      </w:r>
      <w:r w:rsidR="00B01023">
        <w:rPr>
          <w:iCs/>
        </w:rPr>
        <w:t xml:space="preserve">. </w:t>
      </w:r>
      <w:r w:rsidR="008E7FEB">
        <w:rPr>
          <w:iCs/>
        </w:rPr>
        <w:t xml:space="preserve">If the </w:t>
      </w:r>
      <w:r w:rsidR="00B01023">
        <w:rPr>
          <w:iCs/>
        </w:rPr>
        <w:t>UE has measurement</w:t>
      </w:r>
      <w:r w:rsidR="008E7FEB">
        <w:rPr>
          <w:iCs/>
        </w:rPr>
        <w:t>s</w:t>
      </w:r>
      <w:r w:rsidR="00B01023">
        <w:rPr>
          <w:iCs/>
        </w:rPr>
        <w:t xml:space="preserve"> for </w:t>
      </w:r>
      <w:r w:rsidR="008E7FEB">
        <w:rPr>
          <w:iCs/>
        </w:rPr>
        <w:t>the indicated</w:t>
      </w:r>
      <w:r w:rsidR="00B01023">
        <w:rPr>
          <w:iCs/>
        </w:rPr>
        <w:t xml:space="preserve"> QoE configurations, UE </w:t>
      </w:r>
      <w:r w:rsidR="008E7FEB">
        <w:rPr>
          <w:iCs/>
        </w:rPr>
        <w:t>report</w:t>
      </w:r>
      <w:r w:rsidR="00F14B12">
        <w:rPr>
          <w:iCs/>
        </w:rPr>
        <w:t xml:space="preserve"> over SRB4.</w:t>
      </w:r>
    </w:p>
    <w:p w14:paraId="59D27598" w14:textId="63A56BFA" w:rsidR="00EF5440" w:rsidRDefault="006A314E" w:rsidP="00EF5440">
      <w:pPr>
        <w:pStyle w:val="BodyText"/>
        <w:rPr>
          <w:iCs/>
        </w:rPr>
      </w:pPr>
      <w:r>
        <w:rPr>
          <w:iCs/>
        </w:rPr>
        <w:t xml:space="preserve">Compare </w:t>
      </w:r>
      <w:r w:rsidR="001E6F38">
        <w:rPr>
          <w:iCs/>
        </w:rPr>
        <w:t xml:space="preserve">the four options, option 1 is existing mechanism but UE needs to indicate the QoE data </w:t>
      </w:r>
      <w:r w:rsidR="00A21AB0">
        <w:rPr>
          <w:iCs/>
        </w:rPr>
        <w:t>availability,</w:t>
      </w:r>
      <w:r w:rsidR="001E6F38">
        <w:rPr>
          <w:iCs/>
        </w:rPr>
        <w:t xml:space="preserve"> and additional RRC reconfiguration procedure </w:t>
      </w:r>
      <w:r w:rsidR="003B660E">
        <w:rPr>
          <w:iCs/>
        </w:rPr>
        <w:t xml:space="preserve">is needed </w:t>
      </w:r>
      <w:r w:rsidR="001E6F38">
        <w:rPr>
          <w:iCs/>
        </w:rPr>
        <w:t xml:space="preserve">for MN to re-activate SCG or reconfigure </w:t>
      </w:r>
      <w:r w:rsidR="003B660E">
        <w:rPr>
          <w:iCs/>
        </w:rPr>
        <w:t>QoE reporting bearer. Option 2</w:t>
      </w:r>
      <w:r w:rsidR="00601DBF">
        <w:rPr>
          <w:iCs/>
        </w:rPr>
        <w:t xml:space="preserve"> is the simple way</w:t>
      </w:r>
      <w:r w:rsidR="00A3455B">
        <w:rPr>
          <w:iCs/>
        </w:rPr>
        <w:t xml:space="preserve"> UE does not need to send indication to MN and MN does not need to reconfigure the UE.</w:t>
      </w:r>
      <w:r w:rsidR="008C29D6">
        <w:rPr>
          <w:iCs/>
        </w:rPr>
        <w:t xml:space="preserve"> </w:t>
      </w:r>
    </w:p>
    <w:p w14:paraId="4477CA5D" w14:textId="3E67DFA7" w:rsidR="00286806" w:rsidRPr="00901948" w:rsidRDefault="00286806" w:rsidP="00EF5440">
      <w:pPr>
        <w:pStyle w:val="BodyText"/>
        <w:rPr>
          <w:iCs/>
        </w:rPr>
      </w:pPr>
      <w:r>
        <w:rPr>
          <w:iCs/>
        </w:rPr>
        <w:t xml:space="preserve">As shown in the Figure 1, </w:t>
      </w:r>
      <w:r w:rsidR="00754470">
        <w:rPr>
          <w:iCs/>
        </w:rPr>
        <w:t xml:space="preserve">QoE </w:t>
      </w:r>
      <w:r w:rsidR="00AA09C8">
        <w:rPr>
          <w:iCs/>
        </w:rPr>
        <w:t xml:space="preserve">1 </w:t>
      </w:r>
      <w:r w:rsidR="00754470">
        <w:rPr>
          <w:iCs/>
        </w:rPr>
        <w:t>can be reconfigured to be reported over SRB4</w:t>
      </w:r>
      <w:r w:rsidR="00AA09C8">
        <w:rPr>
          <w:iCs/>
        </w:rPr>
        <w:t xml:space="preserve"> </w:t>
      </w:r>
      <w:r w:rsidR="00754470">
        <w:rPr>
          <w:iCs/>
        </w:rPr>
        <w:t xml:space="preserve">while </w:t>
      </w:r>
      <w:r w:rsidR="00AA09C8">
        <w:rPr>
          <w:iCs/>
        </w:rPr>
        <w:t>QoE 3 reporting is suspended. When there is measurement</w:t>
      </w:r>
      <w:r w:rsidR="00F80256">
        <w:rPr>
          <w:iCs/>
        </w:rPr>
        <w:t xml:space="preserve"> available for QoE </w:t>
      </w:r>
      <w:r w:rsidR="002F326E">
        <w:rPr>
          <w:iCs/>
        </w:rPr>
        <w:t xml:space="preserve">3, UE can report available indication to </w:t>
      </w:r>
      <w:r w:rsidR="00141178">
        <w:rPr>
          <w:iCs/>
        </w:rPr>
        <w:t>MN.</w:t>
      </w:r>
    </w:p>
    <w:p w14:paraId="79F62294" w14:textId="0514437E" w:rsidR="00EF5440" w:rsidRDefault="00EF5440" w:rsidP="00EF5440">
      <w:pPr>
        <w:pStyle w:val="BodyText"/>
        <w:rPr>
          <w:b/>
          <w:bCs/>
          <w:iCs/>
        </w:rPr>
      </w:pPr>
      <w:r>
        <w:rPr>
          <w:b/>
          <w:bCs/>
          <w:iCs/>
        </w:rPr>
        <w:t xml:space="preserve">Proposal </w:t>
      </w:r>
      <w:r w:rsidR="00287374">
        <w:rPr>
          <w:b/>
          <w:bCs/>
          <w:iCs/>
        </w:rPr>
        <w:t>3</w:t>
      </w:r>
      <w:r>
        <w:rPr>
          <w:b/>
          <w:bCs/>
          <w:iCs/>
        </w:rPr>
        <w:t xml:space="preserve">: When SCG is deactivated, </w:t>
      </w:r>
      <w:r w:rsidR="00DE1063">
        <w:rPr>
          <w:b/>
          <w:bCs/>
          <w:iCs/>
        </w:rPr>
        <w:t>UE keeps the QoE configurations which were configured by SN or configured to be reported over SRB5</w:t>
      </w:r>
      <w:r>
        <w:rPr>
          <w:b/>
          <w:bCs/>
          <w:iCs/>
        </w:rPr>
        <w:t>.</w:t>
      </w:r>
    </w:p>
    <w:p w14:paraId="72998A37" w14:textId="756DED85" w:rsidR="00EF5440" w:rsidRDefault="00EF5440" w:rsidP="00EF5440">
      <w:pPr>
        <w:pStyle w:val="BodyText"/>
        <w:rPr>
          <w:b/>
          <w:bCs/>
          <w:iCs/>
        </w:rPr>
      </w:pPr>
      <w:r>
        <w:rPr>
          <w:b/>
          <w:bCs/>
          <w:iCs/>
        </w:rPr>
        <w:t xml:space="preserve">Proposal </w:t>
      </w:r>
      <w:r w:rsidR="00287374">
        <w:rPr>
          <w:b/>
          <w:bCs/>
          <w:iCs/>
        </w:rPr>
        <w:t>4</w:t>
      </w:r>
      <w:r>
        <w:rPr>
          <w:b/>
          <w:bCs/>
          <w:iCs/>
        </w:rPr>
        <w:t>:</w:t>
      </w:r>
      <w:r w:rsidRPr="000F7BA6">
        <w:rPr>
          <w:b/>
          <w:bCs/>
          <w:iCs/>
        </w:rPr>
        <w:t xml:space="preserve"> When</w:t>
      </w:r>
      <w:r>
        <w:rPr>
          <w:rFonts w:asciiTheme="minorHAnsi" w:eastAsiaTheme="minorEastAsia" w:hAnsi="Microsoft Sans Serif" w:cstheme="minorBidi"/>
          <w:color w:val="44546A" w:themeColor="text2"/>
          <w:kern w:val="24"/>
          <w:sz w:val="40"/>
          <w:szCs w:val="40"/>
        </w:rPr>
        <w:t xml:space="preserve"> </w:t>
      </w:r>
      <w:r w:rsidRPr="00262346">
        <w:rPr>
          <w:b/>
          <w:bCs/>
          <w:iCs/>
        </w:rPr>
        <w:t>SCG is deactivated</w:t>
      </w:r>
      <w:r>
        <w:rPr>
          <w:b/>
          <w:bCs/>
          <w:iCs/>
        </w:rPr>
        <w:t xml:space="preserve">, </w:t>
      </w:r>
      <w:r w:rsidR="00D359EA">
        <w:rPr>
          <w:b/>
          <w:bCs/>
          <w:iCs/>
        </w:rPr>
        <w:t xml:space="preserve">UE can be configured </w:t>
      </w:r>
      <w:r w:rsidR="00EE2E17">
        <w:rPr>
          <w:b/>
          <w:bCs/>
          <w:iCs/>
        </w:rPr>
        <w:t xml:space="preserve">which </w:t>
      </w:r>
      <w:r>
        <w:rPr>
          <w:b/>
          <w:bCs/>
          <w:iCs/>
        </w:rPr>
        <w:t xml:space="preserve">QoE </w:t>
      </w:r>
      <w:r w:rsidR="00EE2E17">
        <w:rPr>
          <w:b/>
          <w:bCs/>
          <w:iCs/>
        </w:rPr>
        <w:t xml:space="preserve">configurations </w:t>
      </w:r>
      <w:r>
        <w:rPr>
          <w:b/>
          <w:bCs/>
          <w:iCs/>
        </w:rPr>
        <w:t>can be reported over SRB4.</w:t>
      </w:r>
    </w:p>
    <w:p w14:paraId="7721AD2B" w14:textId="153E02BA" w:rsidR="00D614F8" w:rsidRDefault="00726BC0" w:rsidP="00EF5440">
      <w:pPr>
        <w:pStyle w:val="BodyText"/>
        <w:rPr>
          <w:b/>
          <w:bCs/>
          <w:iCs/>
        </w:rPr>
      </w:pPr>
      <w:r>
        <w:rPr>
          <w:b/>
          <w:bCs/>
          <w:iCs/>
        </w:rPr>
        <w:lastRenderedPageBreak/>
        <w:t>Proposal</w:t>
      </w:r>
      <w:r w:rsidR="00B83217">
        <w:rPr>
          <w:b/>
          <w:bCs/>
          <w:iCs/>
        </w:rPr>
        <w:t xml:space="preserve"> </w:t>
      </w:r>
      <w:r w:rsidR="00287374">
        <w:rPr>
          <w:b/>
          <w:bCs/>
          <w:iCs/>
        </w:rPr>
        <w:t>5</w:t>
      </w:r>
      <w:r>
        <w:rPr>
          <w:b/>
          <w:bCs/>
          <w:iCs/>
        </w:rPr>
        <w:t xml:space="preserve">: </w:t>
      </w:r>
      <w:r w:rsidR="00A00AE9" w:rsidRPr="000F7BA6">
        <w:rPr>
          <w:b/>
          <w:bCs/>
          <w:iCs/>
        </w:rPr>
        <w:t>When</w:t>
      </w:r>
      <w:r w:rsidR="00A00AE9">
        <w:rPr>
          <w:rFonts w:asciiTheme="minorHAnsi" w:eastAsiaTheme="minorEastAsia" w:hAnsi="Microsoft Sans Serif" w:cstheme="minorBidi"/>
          <w:color w:val="44546A" w:themeColor="text2"/>
          <w:kern w:val="24"/>
          <w:sz w:val="40"/>
          <w:szCs w:val="40"/>
        </w:rPr>
        <w:t xml:space="preserve"> </w:t>
      </w:r>
      <w:r w:rsidR="00A00AE9" w:rsidRPr="00262346">
        <w:rPr>
          <w:b/>
          <w:bCs/>
          <w:iCs/>
        </w:rPr>
        <w:t>SCG is deactivated</w:t>
      </w:r>
      <w:r w:rsidR="00A00AE9">
        <w:rPr>
          <w:b/>
          <w:bCs/>
          <w:iCs/>
        </w:rPr>
        <w:t xml:space="preserve">, UE indicates data availability for SCG bearer </w:t>
      </w:r>
      <w:r w:rsidR="00566153">
        <w:rPr>
          <w:b/>
          <w:bCs/>
          <w:iCs/>
        </w:rPr>
        <w:t xml:space="preserve">as existing </w:t>
      </w:r>
      <w:r w:rsidR="00A00AE9">
        <w:rPr>
          <w:b/>
          <w:bCs/>
          <w:iCs/>
        </w:rPr>
        <w:t xml:space="preserve">if there is data available for </w:t>
      </w:r>
      <w:r w:rsidR="006E7157">
        <w:rPr>
          <w:b/>
          <w:bCs/>
          <w:iCs/>
        </w:rPr>
        <w:t>those QoE configurations which are not reconfigured to SRB4.</w:t>
      </w:r>
      <w:r w:rsidR="00D614F8">
        <w:rPr>
          <w:b/>
          <w:bCs/>
          <w:iCs/>
        </w:rPr>
        <w:t xml:space="preserve"> </w:t>
      </w:r>
    </w:p>
    <w:p w14:paraId="596680EB" w14:textId="0E55FBD0" w:rsidR="00F76E64" w:rsidRDefault="00F76E64" w:rsidP="00F76E64">
      <w:pPr>
        <w:pStyle w:val="BodyText"/>
        <w:rPr>
          <w:iCs/>
          <w:u w:val="single"/>
        </w:rPr>
      </w:pPr>
      <w:r>
        <w:rPr>
          <w:iCs/>
          <w:u w:val="single"/>
        </w:rPr>
        <w:t xml:space="preserve">Case 2: </w:t>
      </w:r>
      <w:r w:rsidR="0086662A">
        <w:rPr>
          <w:iCs/>
          <w:u w:val="single"/>
        </w:rPr>
        <w:t>SN</w:t>
      </w:r>
      <w:r>
        <w:rPr>
          <w:iCs/>
          <w:u w:val="single"/>
        </w:rPr>
        <w:t xml:space="preserve"> is released</w:t>
      </w:r>
    </w:p>
    <w:p w14:paraId="2F388C40" w14:textId="73FCB8D5" w:rsidR="0085349B" w:rsidRDefault="008E002F" w:rsidP="00F76E64">
      <w:pPr>
        <w:pStyle w:val="BodyText"/>
        <w:rPr>
          <w:iCs/>
        </w:rPr>
      </w:pPr>
      <w:r w:rsidRPr="00901948">
        <w:rPr>
          <w:iCs/>
        </w:rPr>
        <w:t xml:space="preserve">RAN3 had some discussion on how to handle </w:t>
      </w:r>
      <w:r w:rsidR="00B71843" w:rsidRPr="00901948">
        <w:rPr>
          <w:iCs/>
        </w:rPr>
        <w:t>QoE configurations</w:t>
      </w:r>
      <w:r w:rsidR="00D82769" w:rsidRPr="00901948">
        <w:rPr>
          <w:iCs/>
        </w:rPr>
        <w:t xml:space="preserve"> as following, and it is FFS whether SN-configured QoE configuration can be passed to </w:t>
      </w:r>
      <w:r w:rsidR="00CD3EE6" w:rsidRPr="00901948">
        <w:rPr>
          <w:iCs/>
        </w:rPr>
        <w:t>MN in case of SN release.</w:t>
      </w:r>
    </w:p>
    <w:p w14:paraId="5B3A56CE" w14:textId="7088323D" w:rsidR="00A50CE7" w:rsidRPr="003315A9" w:rsidRDefault="00A50CE7" w:rsidP="00901948">
      <w:pPr>
        <w:pBdr>
          <w:top w:val="single" w:sz="4" w:space="1" w:color="auto"/>
          <w:left w:val="single" w:sz="4" w:space="4" w:color="auto"/>
          <w:bottom w:val="single" w:sz="4" w:space="1" w:color="auto"/>
          <w:right w:val="single" w:sz="4" w:space="4" w:color="auto"/>
        </w:pBdr>
        <w:spacing w:after="100" w:afterAutospacing="1"/>
        <w:rPr>
          <w:rStyle w:val="15"/>
          <w:rFonts w:ascii="Calibri" w:eastAsia="MS Mincho" w:hAnsi="Calibri" w:cs="Calibri"/>
          <w:b/>
          <w:color w:val="008000"/>
          <w:sz w:val="18"/>
        </w:rPr>
      </w:pPr>
      <w:r w:rsidRPr="003315A9">
        <w:rPr>
          <w:rStyle w:val="15"/>
          <w:rFonts w:ascii="Calibri" w:hAnsi="Calibri" w:cs="Calibri"/>
          <w:b/>
          <w:color w:val="008000"/>
          <w:sz w:val="18"/>
        </w:rPr>
        <w:t>If the SN configured a UE with QoE measurements, at SN release, the QoE/RVQoE configuration can be released. Whether the SN-configured QoE/RVQoE configuration information can be passed to the MN in case of SN release needs to be further discussed.</w:t>
      </w:r>
    </w:p>
    <w:p w14:paraId="27FEE150" w14:textId="77777777" w:rsidR="008143A6" w:rsidRPr="000F7BA6" w:rsidRDefault="008143A6" w:rsidP="008143A6">
      <w:pPr>
        <w:pStyle w:val="BodyText"/>
        <w:rPr>
          <w:iCs/>
        </w:rPr>
      </w:pPr>
      <w:r>
        <w:rPr>
          <w:iCs/>
        </w:rPr>
        <w:t xml:space="preserve">From UE point of view, UE does not know whether the QoE configuration will be passed to MN or not, </w:t>
      </w:r>
      <w:proofErr w:type="gramStart"/>
      <w:r>
        <w:rPr>
          <w:iCs/>
        </w:rPr>
        <w:t>and also</w:t>
      </w:r>
      <w:proofErr w:type="gramEnd"/>
      <w:r>
        <w:rPr>
          <w:iCs/>
        </w:rPr>
        <w:t xml:space="preserve"> does not know whether the QoE configuration configured by SN could be used by MN. Then when SN is released, MN can indicate to UE which QoE configurations should be </w:t>
      </w:r>
      <w:proofErr w:type="gramStart"/>
      <w:r>
        <w:rPr>
          <w:iCs/>
        </w:rPr>
        <w:t>released</w:t>
      </w:r>
      <w:proofErr w:type="gramEnd"/>
      <w:r>
        <w:rPr>
          <w:iCs/>
        </w:rPr>
        <w:t xml:space="preserve"> and which ones should be kept.</w:t>
      </w:r>
    </w:p>
    <w:p w14:paraId="600DAF42" w14:textId="06FB5358" w:rsidR="00EF5440" w:rsidRDefault="00EF5440" w:rsidP="00EF5440">
      <w:pPr>
        <w:pStyle w:val="BodyText"/>
        <w:rPr>
          <w:b/>
          <w:bCs/>
          <w:iCs/>
        </w:rPr>
      </w:pPr>
      <w:r>
        <w:rPr>
          <w:b/>
          <w:bCs/>
          <w:iCs/>
        </w:rPr>
        <w:t xml:space="preserve">Proposal </w:t>
      </w:r>
      <w:r w:rsidR="00287374">
        <w:rPr>
          <w:b/>
          <w:bCs/>
          <w:iCs/>
        </w:rPr>
        <w:t>6</w:t>
      </w:r>
      <w:r>
        <w:rPr>
          <w:b/>
          <w:bCs/>
          <w:iCs/>
        </w:rPr>
        <w:t xml:space="preserve">: When </w:t>
      </w:r>
      <w:r w:rsidR="0086662A">
        <w:rPr>
          <w:b/>
          <w:bCs/>
          <w:iCs/>
        </w:rPr>
        <w:t>SN</w:t>
      </w:r>
      <w:r>
        <w:rPr>
          <w:b/>
          <w:bCs/>
          <w:iCs/>
        </w:rPr>
        <w:t xml:space="preserve"> is released, </w:t>
      </w:r>
      <w:r w:rsidR="0086662A">
        <w:rPr>
          <w:b/>
          <w:bCs/>
          <w:iCs/>
        </w:rPr>
        <w:t>UE is indicated</w:t>
      </w:r>
      <w:r>
        <w:rPr>
          <w:b/>
          <w:bCs/>
          <w:iCs/>
        </w:rPr>
        <w:t xml:space="preserve"> which QoE configurations should be released</w:t>
      </w:r>
      <w:r w:rsidR="00960114">
        <w:rPr>
          <w:b/>
          <w:bCs/>
          <w:iCs/>
        </w:rPr>
        <w:t xml:space="preserve"> or kept</w:t>
      </w:r>
      <w:r w:rsidR="00280BB0">
        <w:rPr>
          <w:b/>
          <w:bCs/>
          <w:iCs/>
        </w:rPr>
        <w:t>.</w:t>
      </w:r>
    </w:p>
    <w:p w14:paraId="0809534B" w14:textId="3D885114" w:rsidR="00EF5440" w:rsidRDefault="00960114" w:rsidP="00EF5440">
      <w:pPr>
        <w:pStyle w:val="BodyText"/>
        <w:rPr>
          <w:iCs/>
          <w:u w:val="single"/>
        </w:rPr>
      </w:pPr>
      <w:r w:rsidRPr="00901948">
        <w:rPr>
          <w:iCs/>
          <w:u w:val="single"/>
        </w:rPr>
        <w:t xml:space="preserve">Case 3: </w:t>
      </w:r>
      <w:r w:rsidR="00EF5440" w:rsidRPr="00901948">
        <w:rPr>
          <w:iCs/>
          <w:u w:val="single"/>
        </w:rPr>
        <w:t>SCG failure</w:t>
      </w:r>
    </w:p>
    <w:p w14:paraId="319B497A" w14:textId="4D2BA04E" w:rsidR="00960114" w:rsidRPr="00A0243C" w:rsidRDefault="00960114" w:rsidP="00EF5440">
      <w:pPr>
        <w:pStyle w:val="BodyText"/>
        <w:rPr>
          <w:iCs/>
        </w:rPr>
      </w:pPr>
      <w:r w:rsidRPr="00901948">
        <w:rPr>
          <w:iCs/>
        </w:rPr>
        <w:t>In existing NR-DC, when SCG is failure, UE should suspend SCG bearers and try to recover SCG. For QoE reporting over SRB5, similar handling can be reused, and UE should suspend SRB5</w:t>
      </w:r>
      <w:r w:rsidR="00A0243C" w:rsidRPr="00901948">
        <w:rPr>
          <w:iCs/>
        </w:rPr>
        <w:t>.</w:t>
      </w:r>
    </w:p>
    <w:p w14:paraId="68CD0F54" w14:textId="72B90C2A" w:rsidR="00EF5440" w:rsidRDefault="00EF5440" w:rsidP="00EF5440">
      <w:pPr>
        <w:pStyle w:val="BodyText"/>
        <w:rPr>
          <w:b/>
          <w:bCs/>
          <w:iCs/>
        </w:rPr>
      </w:pPr>
      <w:r>
        <w:rPr>
          <w:b/>
          <w:bCs/>
          <w:iCs/>
        </w:rPr>
        <w:t xml:space="preserve">Proposal </w:t>
      </w:r>
      <w:r w:rsidR="00287374">
        <w:rPr>
          <w:b/>
          <w:bCs/>
          <w:iCs/>
        </w:rPr>
        <w:t>7</w:t>
      </w:r>
      <w:r>
        <w:rPr>
          <w:b/>
          <w:bCs/>
          <w:iCs/>
        </w:rPr>
        <w:t xml:space="preserve">: Existing SCG failure and recovery procedure are reused, </w:t>
      </w:r>
      <w:proofErr w:type="gramStart"/>
      <w:r w:rsidR="00C06EFD">
        <w:rPr>
          <w:b/>
          <w:bCs/>
          <w:iCs/>
        </w:rPr>
        <w:t>i.e.</w:t>
      </w:r>
      <w:proofErr w:type="gramEnd"/>
      <w:r w:rsidR="00C06EFD">
        <w:rPr>
          <w:b/>
          <w:bCs/>
          <w:iCs/>
        </w:rPr>
        <w:t xml:space="preserve"> </w:t>
      </w:r>
      <w:r>
        <w:rPr>
          <w:b/>
          <w:bCs/>
          <w:iCs/>
        </w:rPr>
        <w:t>SRB5 bearer and related QoE reporting</w:t>
      </w:r>
      <w:r w:rsidRPr="00437CFE">
        <w:rPr>
          <w:b/>
          <w:bCs/>
          <w:iCs/>
        </w:rPr>
        <w:t xml:space="preserve"> </w:t>
      </w:r>
      <w:r>
        <w:rPr>
          <w:b/>
          <w:bCs/>
          <w:iCs/>
        </w:rPr>
        <w:t>are suspended During SCG failure</w:t>
      </w:r>
      <w:r w:rsidR="00960114">
        <w:rPr>
          <w:b/>
          <w:bCs/>
          <w:iCs/>
        </w:rPr>
        <w:t xml:space="preserve"> and recovery</w:t>
      </w:r>
      <w:r>
        <w:rPr>
          <w:b/>
          <w:bCs/>
          <w:iCs/>
        </w:rPr>
        <w:t>.</w:t>
      </w:r>
    </w:p>
    <w:p w14:paraId="611BD2BC" w14:textId="1D711C1A" w:rsidR="00707518" w:rsidRDefault="00707518" w:rsidP="00707518">
      <w:pPr>
        <w:pStyle w:val="BodyText"/>
        <w:rPr>
          <w:iCs/>
          <w:u w:val="single"/>
        </w:rPr>
      </w:pPr>
      <w:r w:rsidRPr="000F7BA6">
        <w:rPr>
          <w:iCs/>
          <w:u w:val="single"/>
        </w:rPr>
        <w:t xml:space="preserve">Case </w:t>
      </w:r>
      <w:r>
        <w:rPr>
          <w:iCs/>
          <w:u w:val="single"/>
        </w:rPr>
        <w:t>4</w:t>
      </w:r>
      <w:r w:rsidRPr="000F7BA6">
        <w:rPr>
          <w:iCs/>
          <w:u w:val="single"/>
        </w:rPr>
        <w:t xml:space="preserve">: </w:t>
      </w:r>
      <w:r w:rsidR="00FA5166">
        <w:rPr>
          <w:iCs/>
          <w:u w:val="single"/>
        </w:rPr>
        <w:t>M</w:t>
      </w:r>
      <w:r w:rsidRPr="000F7BA6">
        <w:rPr>
          <w:iCs/>
          <w:u w:val="single"/>
        </w:rPr>
        <w:t>CG failure</w:t>
      </w:r>
    </w:p>
    <w:p w14:paraId="174FD3B0" w14:textId="2F58BF77" w:rsidR="00D03A5C" w:rsidRPr="00901948" w:rsidRDefault="00D03A5C" w:rsidP="00707518">
      <w:pPr>
        <w:pStyle w:val="BodyText"/>
        <w:rPr>
          <w:iCs/>
        </w:rPr>
      </w:pPr>
      <w:r w:rsidRPr="00901948">
        <w:rPr>
          <w:iCs/>
        </w:rPr>
        <w:t>In existing MCG failure, during</w:t>
      </w:r>
      <w:r w:rsidR="00D12176">
        <w:rPr>
          <w:iCs/>
        </w:rPr>
        <w:t xml:space="preserve"> MCG recovery, UE should suspend bearer and QoE reporting</w:t>
      </w:r>
    </w:p>
    <w:p w14:paraId="1A986E60" w14:textId="76291E28" w:rsidR="00EF5440" w:rsidRDefault="00EF5440" w:rsidP="00EF5440">
      <w:pPr>
        <w:pStyle w:val="BodyText"/>
        <w:rPr>
          <w:b/>
          <w:bCs/>
          <w:iCs/>
        </w:rPr>
      </w:pPr>
      <w:r>
        <w:rPr>
          <w:b/>
          <w:bCs/>
          <w:iCs/>
        </w:rPr>
        <w:t xml:space="preserve">Proposal </w:t>
      </w:r>
      <w:r w:rsidR="00287374">
        <w:rPr>
          <w:b/>
          <w:bCs/>
          <w:iCs/>
        </w:rPr>
        <w:t>8</w:t>
      </w:r>
      <w:r>
        <w:rPr>
          <w:b/>
          <w:bCs/>
          <w:iCs/>
        </w:rPr>
        <w:t>:</w:t>
      </w:r>
      <w:r w:rsidRPr="00371F12">
        <w:rPr>
          <w:b/>
          <w:bCs/>
          <w:iCs/>
        </w:rPr>
        <w:t xml:space="preserve"> </w:t>
      </w:r>
      <w:r>
        <w:rPr>
          <w:b/>
          <w:bCs/>
          <w:iCs/>
        </w:rPr>
        <w:t>Existing MCG failure and recovery procedure are reused, SRB4 bearer and related QoE reporting</w:t>
      </w:r>
      <w:r w:rsidRPr="00437CFE">
        <w:rPr>
          <w:b/>
          <w:bCs/>
          <w:iCs/>
        </w:rPr>
        <w:t xml:space="preserve"> </w:t>
      </w:r>
      <w:r>
        <w:rPr>
          <w:b/>
          <w:bCs/>
          <w:iCs/>
        </w:rPr>
        <w:t xml:space="preserve">are suspended During </w:t>
      </w:r>
      <w:r w:rsidR="00616A9A">
        <w:rPr>
          <w:b/>
          <w:bCs/>
          <w:iCs/>
        </w:rPr>
        <w:t>M</w:t>
      </w:r>
      <w:r>
        <w:rPr>
          <w:b/>
          <w:bCs/>
          <w:iCs/>
        </w:rPr>
        <w:t>CG failure</w:t>
      </w:r>
      <w:r w:rsidR="00616A9A">
        <w:rPr>
          <w:b/>
          <w:bCs/>
          <w:iCs/>
        </w:rPr>
        <w:t xml:space="preserve"> </w:t>
      </w:r>
      <w:r w:rsidR="00616A9A">
        <w:rPr>
          <w:b/>
          <w:bCs/>
          <w:iCs/>
        </w:rPr>
        <w:t>and recovery</w:t>
      </w:r>
      <w:r>
        <w:rPr>
          <w:b/>
          <w:bCs/>
          <w:iCs/>
        </w:rPr>
        <w:t>.</w:t>
      </w:r>
    </w:p>
    <w:p w14:paraId="14100AD9" w14:textId="73356DF0" w:rsidR="00946E9E" w:rsidRPr="00315588" w:rsidRDefault="00946E9E" w:rsidP="00315588">
      <w:pPr>
        <w:pStyle w:val="Heading1"/>
        <w:numPr>
          <w:ilvl w:val="0"/>
          <w:numId w:val="0"/>
        </w:numPr>
        <w:ind w:left="567" w:hanging="567"/>
        <w:rPr>
          <w:b w:val="0"/>
          <w:bCs w:val="0"/>
        </w:rPr>
      </w:pPr>
      <w:r w:rsidRPr="00315588">
        <w:rPr>
          <w:b w:val="0"/>
          <w:bCs w:val="0"/>
        </w:rPr>
        <w:t>2.</w:t>
      </w:r>
      <w:r w:rsidR="00D108CA">
        <w:rPr>
          <w:b w:val="0"/>
          <w:bCs w:val="0"/>
        </w:rPr>
        <w:t>3</w:t>
      </w:r>
      <w:r w:rsidR="00D108CA" w:rsidRPr="00315588">
        <w:rPr>
          <w:b w:val="0"/>
          <w:bCs w:val="0"/>
        </w:rPr>
        <w:t xml:space="preserve"> </w:t>
      </w:r>
      <w:r w:rsidRPr="00315588">
        <w:rPr>
          <w:b w:val="0"/>
          <w:bCs w:val="0"/>
        </w:rPr>
        <w:t>QoE reporting pause and resume in NR-DC</w:t>
      </w:r>
    </w:p>
    <w:p w14:paraId="467CD237" w14:textId="69568455" w:rsidR="00946E9E" w:rsidRDefault="00946E9E" w:rsidP="00946E9E">
      <w:pPr>
        <w:pStyle w:val="BodyText"/>
        <w:rPr>
          <w:lang w:eastAsia="zh-CN"/>
        </w:rPr>
      </w:pPr>
      <w:r w:rsidRPr="00427355">
        <w:rPr>
          <w:lang w:eastAsia="zh-CN"/>
        </w:rPr>
        <w:t xml:space="preserve">In RAN2 </w:t>
      </w:r>
      <w:r>
        <w:rPr>
          <w:lang w:eastAsia="zh-CN"/>
        </w:rPr>
        <w:t xml:space="preserve">#121bis </w:t>
      </w:r>
      <w:r w:rsidRPr="00427355">
        <w:rPr>
          <w:lang w:eastAsia="zh-CN"/>
        </w:rPr>
        <w:t xml:space="preserve">meeting, the following agreements were achieved </w:t>
      </w:r>
      <w:r>
        <w:rPr>
          <w:lang w:eastAsia="zh-CN"/>
        </w:rPr>
        <w:t xml:space="preserve">on QoE reporting pause and resume in NR-DC, and there is FFS part on whether paused QoE reports can be reported to SN if MN is </w:t>
      </w:r>
      <w:proofErr w:type="gramStart"/>
      <w:r>
        <w:rPr>
          <w:lang w:eastAsia="zh-CN"/>
        </w:rPr>
        <w:t>overloaded</w:t>
      </w:r>
      <w:proofErr w:type="gramEnd"/>
      <w:r>
        <w:rPr>
          <w:lang w:eastAsia="zh-CN"/>
        </w:rPr>
        <w:t xml:space="preserve"> and SN is not overloaded.</w:t>
      </w:r>
    </w:p>
    <w:p w14:paraId="3D996857" w14:textId="77777777" w:rsidR="00946E9E" w:rsidRPr="00901948" w:rsidRDefault="00946E9E" w:rsidP="00946E9E">
      <w:pPr>
        <w:pStyle w:val="Agreement"/>
        <w:pBdr>
          <w:top w:val="single" w:sz="4" w:space="1" w:color="auto"/>
          <w:left w:val="single" w:sz="4" w:space="4" w:color="auto"/>
          <w:bottom w:val="single" w:sz="4" w:space="1" w:color="auto"/>
          <w:right w:val="single" w:sz="4" w:space="4" w:color="auto"/>
        </w:pBdr>
        <w:tabs>
          <w:tab w:val="clear" w:pos="810"/>
          <w:tab w:val="num" w:pos="1619"/>
        </w:tabs>
        <w:ind w:left="1619"/>
        <w:rPr>
          <w:lang w:val="en-US"/>
        </w:rPr>
      </w:pPr>
      <w:r w:rsidRPr="004F0D8A">
        <w:rPr>
          <w:lang w:val="en-US"/>
        </w:rPr>
        <w:t xml:space="preserve">14: As a baseline, Rel-17 pause/resume procedure is reused to pause/resume reporting of one or multiple QoE measurement configurations in a UE for NR-DC. </w:t>
      </w:r>
      <w:r w:rsidRPr="00901948">
        <w:rPr>
          <w:lang w:val="en-US"/>
        </w:rPr>
        <w:t xml:space="preserve">Details are FFS, </w:t>
      </w:r>
      <w:proofErr w:type="gramStart"/>
      <w:r w:rsidRPr="00901948">
        <w:rPr>
          <w:lang w:val="en-US"/>
        </w:rPr>
        <w:t>e.g.</w:t>
      </w:r>
      <w:proofErr w:type="gramEnd"/>
      <w:r w:rsidRPr="00901948">
        <w:rPr>
          <w:lang w:val="en-US"/>
        </w:rPr>
        <w:t xml:space="preserve"> whether paused QoE reports can be reported to SN (if SN is not overload).</w:t>
      </w:r>
    </w:p>
    <w:p w14:paraId="41449BB6" w14:textId="77777777" w:rsidR="00946E9E" w:rsidRDefault="00946E9E" w:rsidP="00946E9E">
      <w:pPr>
        <w:pStyle w:val="BodyText"/>
        <w:rPr>
          <w:lang w:eastAsia="zh-CN"/>
        </w:rPr>
      </w:pPr>
      <w:r>
        <w:rPr>
          <w:lang w:eastAsia="zh-CN"/>
        </w:rPr>
        <w:t xml:space="preserve">In Rel-17, QoE </w:t>
      </w:r>
      <w:proofErr w:type="gramStart"/>
      <w:r>
        <w:rPr>
          <w:lang w:eastAsia="zh-CN"/>
        </w:rPr>
        <w:t>pause</w:t>
      </w:r>
      <w:proofErr w:type="gramEnd"/>
      <w:r>
        <w:rPr>
          <w:lang w:eastAsia="zh-CN"/>
        </w:rPr>
        <w:t xml:space="preserve"> and resume is per QoE configuration. In NR-DC, when MN or SN is overloaded, the reporting bearer should be changed to </w:t>
      </w:r>
      <w:proofErr w:type="gramStart"/>
      <w:r>
        <w:rPr>
          <w:lang w:eastAsia="zh-CN"/>
        </w:rPr>
        <w:t>other</w:t>
      </w:r>
      <w:proofErr w:type="gramEnd"/>
      <w:r>
        <w:rPr>
          <w:lang w:eastAsia="zh-CN"/>
        </w:rPr>
        <w:t xml:space="preserve"> bearer, e.g. change from SRB4 to SRB5, or vice-versa. This complies with the motivation of introducing NR-DC QoE that QoE reporting can be balanced when one RAN node is overloaded. If both MN and SN are overloaded, then QoE reporting can be paused.</w:t>
      </w:r>
    </w:p>
    <w:p w14:paraId="00166140" w14:textId="63C7945C" w:rsidR="00946E9E" w:rsidRDefault="00946E9E" w:rsidP="00946E9E">
      <w:pPr>
        <w:pStyle w:val="BodyText"/>
        <w:rPr>
          <w:b/>
          <w:bCs/>
          <w:lang w:eastAsia="zh-CN"/>
        </w:rPr>
      </w:pPr>
      <w:r w:rsidRPr="008A0EFD">
        <w:rPr>
          <w:b/>
          <w:bCs/>
          <w:lang w:eastAsia="zh-CN"/>
        </w:rPr>
        <w:t xml:space="preserve">Proposal </w:t>
      </w:r>
      <w:r w:rsidR="00287374">
        <w:rPr>
          <w:b/>
          <w:bCs/>
          <w:lang w:eastAsia="zh-CN"/>
        </w:rPr>
        <w:t>9</w:t>
      </w:r>
      <w:r w:rsidRPr="008A0EFD">
        <w:rPr>
          <w:b/>
          <w:bCs/>
          <w:lang w:eastAsia="zh-CN"/>
        </w:rPr>
        <w:t>:</w:t>
      </w:r>
      <w:r>
        <w:rPr>
          <w:b/>
          <w:bCs/>
          <w:lang w:eastAsia="zh-CN"/>
        </w:rPr>
        <w:t xml:space="preserve"> Per-leg based QoE reporting pause or resume is not introduced. That means if MN is overloaded and SN is not, QoE reporting </w:t>
      </w:r>
      <w:r w:rsidR="0096660A">
        <w:rPr>
          <w:b/>
          <w:bCs/>
          <w:lang w:eastAsia="zh-CN"/>
        </w:rPr>
        <w:t>can</w:t>
      </w:r>
      <w:r>
        <w:rPr>
          <w:b/>
          <w:bCs/>
          <w:lang w:eastAsia="zh-CN"/>
        </w:rPr>
        <w:t xml:space="preserve"> be changed to SRB5 (if configured), or vice versa.</w:t>
      </w:r>
    </w:p>
    <w:p w14:paraId="759D7657" w14:textId="7A937724" w:rsidR="00946E9E" w:rsidRDefault="00946E9E" w:rsidP="00946E9E">
      <w:pPr>
        <w:pStyle w:val="BodyText"/>
        <w:rPr>
          <w:b/>
          <w:bCs/>
          <w:lang w:eastAsia="zh-CN"/>
        </w:rPr>
      </w:pPr>
      <w:r>
        <w:rPr>
          <w:b/>
          <w:bCs/>
          <w:lang w:eastAsia="zh-CN"/>
        </w:rPr>
        <w:t xml:space="preserve">Proposal </w:t>
      </w:r>
      <w:r w:rsidR="00287374">
        <w:rPr>
          <w:b/>
          <w:bCs/>
          <w:lang w:eastAsia="zh-CN"/>
        </w:rPr>
        <w:t>10</w:t>
      </w:r>
      <w:r>
        <w:rPr>
          <w:b/>
          <w:bCs/>
          <w:lang w:eastAsia="zh-CN"/>
        </w:rPr>
        <w:t xml:space="preserve">: If both MN and SN are overloaded, network </w:t>
      </w:r>
      <w:r w:rsidR="00F421E8">
        <w:rPr>
          <w:b/>
          <w:bCs/>
          <w:lang w:eastAsia="zh-CN"/>
        </w:rPr>
        <w:t xml:space="preserve">can </w:t>
      </w:r>
      <w:r>
        <w:rPr>
          <w:b/>
          <w:bCs/>
          <w:lang w:eastAsia="zh-CN"/>
        </w:rPr>
        <w:t>indicate QoE reporting pause per QoE configuration to UE. It is left to RAN3 which RAN node sends the pause indication to the UE.</w:t>
      </w:r>
    </w:p>
    <w:p w14:paraId="34D1DA40" w14:textId="77777777" w:rsidR="00946E9E" w:rsidRDefault="00946E9E" w:rsidP="00946E9E">
      <w:pPr>
        <w:pStyle w:val="BodyText"/>
        <w:rPr>
          <w:lang w:eastAsia="zh-CN"/>
        </w:rPr>
      </w:pPr>
      <w:r w:rsidRPr="009036BF">
        <w:rPr>
          <w:lang w:eastAsia="zh-CN"/>
        </w:rPr>
        <w:t xml:space="preserve">When MN and/or SN overload is alleviated, </w:t>
      </w:r>
      <w:r>
        <w:rPr>
          <w:lang w:eastAsia="zh-CN"/>
        </w:rPr>
        <w:t>network can indicate QoE reporting resume to UE. When resuming QoE reporting, network can indicate which bearer is used for QoE reporting resume. If no bearer is indicated, UE should apply the bearer before QoE reporting was paused.</w:t>
      </w:r>
    </w:p>
    <w:p w14:paraId="71AE8710" w14:textId="6C5E5D45" w:rsidR="00946E9E" w:rsidRDefault="00946E9E" w:rsidP="00946E9E">
      <w:pPr>
        <w:pStyle w:val="BodyText"/>
        <w:rPr>
          <w:b/>
          <w:bCs/>
          <w:lang w:eastAsia="zh-CN"/>
        </w:rPr>
      </w:pPr>
      <w:r w:rsidRPr="00E10C91">
        <w:rPr>
          <w:b/>
          <w:bCs/>
          <w:lang w:eastAsia="zh-CN"/>
        </w:rPr>
        <w:t xml:space="preserve">Proposal </w:t>
      </w:r>
      <w:r w:rsidR="00287374">
        <w:rPr>
          <w:b/>
          <w:bCs/>
          <w:lang w:eastAsia="zh-CN"/>
        </w:rPr>
        <w:t>11</w:t>
      </w:r>
      <w:r w:rsidRPr="00E10C91">
        <w:rPr>
          <w:b/>
          <w:bCs/>
          <w:lang w:eastAsia="zh-CN"/>
        </w:rPr>
        <w:t xml:space="preserve">: </w:t>
      </w:r>
      <w:r>
        <w:rPr>
          <w:b/>
          <w:bCs/>
          <w:lang w:eastAsia="zh-CN"/>
        </w:rPr>
        <w:t xml:space="preserve">When </w:t>
      </w:r>
      <w:r w:rsidRPr="0091412B">
        <w:rPr>
          <w:b/>
          <w:bCs/>
          <w:lang w:eastAsia="zh-CN"/>
        </w:rPr>
        <w:t>network indicate</w:t>
      </w:r>
      <w:r>
        <w:rPr>
          <w:b/>
          <w:bCs/>
          <w:lang w:eastAsia="zh-CN"/>
        </w:rPr>
        <w:t>s</w:t>
      </w:r>
      <w:r w:rsidRPr="0091412B">
        <w:rPr>
          <w:b/>
          <w:bCs/>
          <w:lang w:eastAsia="zh-CN"/>
        </w:rPr>
        <w:t xml:space="preserve"> QoE reporting resume to UE, network can indicate which bearer is used </w:t>
      </w:r>
      <w:r w:rsidR="00CE3C83">
        <w:rPr>
          <w:b/>
          <w:bCs/>
          <w:lang w:eastAsia="zh-CN"/>
        </w:rPr>
        <w:t>when</w:t>
      </w:r>
      <w:r w:rsidR="00CE3C83" w:rsidRPr="0091412B">
        <w:rPr>
          <w:b/>
          <w:bCs/>
          <w:lang w:eastAsia="zh-CN"/>
        </w:rPr>
        <w:t xml:space="preserve"> </w:t>
      </w:r>
      <w:r w:rsidRPr="0091412B">
        <w:rPr>
          <w:b/>
          <w:bCs/>
          <w:lang w:eastAsia="zh-CN"/>
        </w:rPr>
        <w:t>QoE reporting</w:t>
      </w:r>
      <w:r w:rsidR="00CE3C83">
        <w:rPr>
          <w:b/>
          <w:bCs/>
          <w:lang w:eastAsia="zh-CN"/>
        </w:rPr>
        <w:t xml:space="preserve"> is</w:t>
      </w:r>
      <w:r w:rsidRPr="0091412B">
        <w:rPr>
          <w:b/>
          <w:bCs/>
          <w:lang w:eastAsia="zh-CN"/>
        </w:rPr>
        <w:t xml:space="preserve"> resume</w:t>
      </w:r>
      <w:r w:rsidR="00575747">
        <w:rPr>
          <w:b/>
          <w:bCs/>
          <w:lang w:eastAsia="zh-CN"/>
        </w:rPr>
        <w:t>d</w:t>
      </w:r>
      <w:r w:rsidRPr="0091412B">
        <w:rPr>
          <w:b/>
          <w:bCs/>
          <w:lang w:eastAsia="zh-CN"/>
        </w:rPr>
        <w:t xml:space="preserve">. </w:t>
      </w:r>
      <w:r w:rsidRPr="00D16308">
        <w:rPr>
          <w:b/>
          <w:bCs/>
          <w:lang w:eastAsia="zh-CN"/>
        </w:rPr>
        <w:t>It is left to RAN3 which RAN node sends the resume indication to the UE.</w:t>
      </w:r>
    </w:p>
    <w:p w14:paraId="60F69457" w14:textId="0534F77E" w:rsidR="00283BCA" w:rsidRPr="00133F35" w:rsidRDefault="001B282D" w:rsidP="00133F35">
      <w:pPr>
        <w:pStyle w:val="Heading1"/>
        <w:numPr>
          <w:ilvl w:val="0"/>
          <w:numId w:val="0"/>
        </w:numPr>
        <w:ind w:left="567" w:hanging="567"/>
        <w:rPr>
          <w:b w:val="0"/>
          <w:bCs w:val="0"/>
        </w:rPr>
      </w:pPr>
      <w:r>
        <w:rPr>
          <w:b w:val="0"/>
          <w:bCs w:val="0"/>
        </w:rPr>
        <w:lastRenderedPageBreak/>
        <w:t xml:space="preserve">2.4 </w:t>
      </w:r>
      <w:proofErr w:type="spellStart"/>
      <w:r w:rsidR="00283BCA" w:rsidRPr="00133F35">
        <w:rPr>
          <w:b w:val="0"/>
          <w:bCs w:val="0"/>
        </w:rPr>
        <w:t>RVQoE</w:t>
      </w:r>
      <w:proofErr w:type="spellEnd"/>
      <w:r w:rsidR="00283BCA" w:rsidRPr="00133F35">
        <w:rPr>
          <w:b w:val="0"/>
          <w:bCs w:val="0"/>
        </w:rPr>
        <w:t xml:space="preserve"> reporting</w:t>
      </w:r>
    </w:p>
    <w:p w14:paraId="10379351" w14:textId="0CF35CFC" w:rsidR="001B282D" w:rsidRPr="00133F35" w:rsidRDefault="001B282D" w:rsidP="00283BCA">
      <w:pPr>
        <w:pStyle w:val="Comments"/>
        <w:rPr>
          <w:i w:val="0"/>
          <w:iCs/>
          <w:sz w:val="20"/>
          <w:lang w:val="en-US" w:eastAsia="en-US"/>
        </w:rPr>
      </w:pPr>
      <w:r w:rsidRPr="00133F35">
        <w:rPr>
          <w:i w:val="0"/>
          <w:iCs/>
          <w:sz w:val="20"/>
          <w:lang w:val="en-US" w:eastAsia="en-US"/>
        </w:rPr>
        <w:t xml:space="preserve">RAN2 agreed that RAN can indicate which bearer should be used for QoE reporting per QoE configuration. Similarly, for RVQoE reporting, </w:t>
      </w:r>
      <w:r w:rsidR="009A0F32">
        <w:rPr>
          <w:i w:val="0"/>
          <w:iCs/>
          <w:sz w:val="20"/>
          <w:lang w:val="en-US" w:eastAsia="en-US"/>
        </w:rPr>
        <w:t>RAN node should also indicate which bearer should be used for RVQoE reporting per QoE configuration.</w:t>
      </w:r>
    </w:p>
    <w:p w14:paraId="7DE2574E" w14:textId="4AD8E31A" w:rsidR="002861A0" w:rsidRPr="000F7BA6" w:rsidRDefault="002861A0" w:rsidP="00283BCA">
      <w:pPr>
        <w:pStyle w:val="Comments"/>
        <w:rPr>
          <w:b/>
          <w:bCs/>
          <w:i w:val="0"/>
          <w:iCs/>
          <w:sz w:val="20"/>
          <w:lang w:val="en-US" w:eastAsia="en-US"/>
        </w:rPr>
      </w:pPr>
      <w:r>
        <w:rPr>
          <w:b/>
          <w:bCs/>
          <w:i w:val="0"/>
          <w:iCs/>
          <w:sz w:val="20"/>
          <w:lang w:val="en-US" w:eastAsia="en-US"/>
        </w:rPr>
        <w:t>Proposal</w:t>
      </w:r>
      <w:r w:rsidR="00287374">
        <w:rPr>
          <w:b/>
          <w:bCs/>
          <w:i w:val="0"/>
          <w:iCs/>
          <w:sz w:val="20"/>
          <w:lang w:val="en-US" w:eastAsia="en-US"/>
        </w:rPr>
        <w:t xml:space="preserve"> 12</w:t>
      </w:r>
      <w:r>
        <w:rPr>
          <w:b/>
          <w:bCs/>
          <w:i w:val="0"/>
          <w:iCs/>
          <w:sz w:val="20"/>
          <w:lang w:val="en-US" w:eastAsia="en-US"/>
        </w:rPr>
        <w:t xml:space="preserve">: </w:t>
      </w:r>
      <w:r w:rsidR="00332834" w:rsidRPr="00332834">
        <w:rPr>
          <w:b/>
          <w:bCs/>
          <w:i w:val="0"/>
          <w:iCs/>
          <w:sz w:val="20"/>
          <w:lang w:val="en-US" w:eastAsia="en-US"/>
        </w:rPr>
        <w:t>RAN node should indicate which bearer should be used for RVQoE reporting per QoE configuration.</w:t>
      </w:r>
    </w:p>
    <w:p w14:paraId="78A0A4AB" w14:textId="56B73BBC" w:rsidR="007D2366" w:rsidRPr="00133F35" w:rsidRDefault="00283BCA"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t xml:space="preserve"> </w:t>
      </w:r>
      <w:bookmarkEnd w:id="4"/>
      <w:bookmarkEnd w:id="5"/>
      <w:r w:rsidR="007D2366" w:rsidRPr="00133F35">
        <w:rPr>
          <w:rFonts w:cs="Times New Roman"/>
          <w:b w:val="0"/>
          <w:bCs w:val="0"/>
          <w:kern w:val="0"/>
          <w:sz w:val="36"/>
          <w:szCs w:val="20"/>
        </w:rPr>
        <w:t>Conclusion</w:t>
      </w:r>
      <w:r w:rsidR="004865E5" w:rsidRPr="00133F35">
        <w:rPr>
          <w:rFonts w:cs="Times New Roman"/>
          <w:b w:val="0"/>
          <w:bCs w:val="0"/>
          <w:kern w:val="0"/>
          <w:sz w:val="36"/>
          <w:szCs w:val="20"/>
        </w:rPr>
        <w:t xml:space="preserve"> </w:t>
      </w:r>
    </w:p>
    <w:p w14:paraId="19526CB3" w14:textId="13FD5C19" w:rsidR="0009451F" w:rsidRDefault="00055C58" w:rsidP="00842741">
      <w:pPr>
        <w:pStyle w:val="BodyText"/>
        <w:rPr>
          <w:lang w:eastAsia="zh-CN"/>
        </w:rPr>
      </w:pPr>
      <w:r w:rsidRPr="00427355">
        <w:rPr>
          <w:lang w:eastAsia="zh-CN"/>
        </w:rPr>
        <w:t xml:space="preserve">This contribution discusses the RAN2 part </w:t>
      </w:r>
      <w:r w:rsidR="00EC06F2" w:rsidRPr="00427355">
        <w:rPr>
          <w:lang w:eastAsia="zh-CN"/>
        </w:rPr>
        <w:t>for QoE collection in DC operation</w:t>
      </w:r>
      <w:r w:rsidR="00820969" w:rsidRPr="00427355">
        <w:rPr>
          <w:lang w:eastAsia="zh-CN"/>
        </w:rPr>
        <w:t xml:space="preserve"> and provide the following proposals.</w:t>
      </w:r>
    </w:p>
    <w:p w14:paraId="6A97BB1D" w14:textId="42FDC226" w:rsidR="00287374" w:rsidRDefault="00287374" w:rsidP="0051279E">
      <w:pPr>
        <w:pStyle w:val="BodyText"/>
        <w:rPr>
          <w:u w:val="single"/>
        </w:rPr>
      </w:pPr>
      <w:r w:rsidRPr="00287374">
        <w:rPr>
          <w:u w:val="single"/>
        </w:rPr>
        <w:t>RRC message to report QoE report associated with non-receiving RAN node</w:t>
      </w:r>
    </w:p>
    <w:p w14:paraId="7091E2DF" w14:textId="77777777" w:rsidR="00D61DEE" w:rsidRPr="00647449" w:rsidRDefault="00D61DEE" w:rsidP="00D61DEE">
      <w:pPr>
        <w:pStyle w:val="BodyText"/>
        <w:jc w:val="left"/>
        <w:rPr>
          <w:b/>
          <w:bCs/>
          <w:iCs/>
        </w:rPr>
      </w:pPr>
      <w:r w:rsidRPr="00647449">
        <w:rPr>
          <w:b/>
          <w:bCs/>
          <w:iCs/>
        </w:rPr>
        <w:t xml:space="preserve">Proposal 1: For container based on </w:t>
      </w:r>
      <w:proofErr w:type="spellStart"/>
      <w:r w:rsidRPr="00647449">
        <w:rPr>
          <w:b/>
          <w:bCs/>
          <w:iCs/>
        </w:rPr>
        <w:t>QoE</w:t>
      </w:r>
      <w:proofErr w:type="spellEnd"/>
      <w:r w:rsidRPr="00647449">
        <w:rPr>
          <w:b/>
          <w:bCs/>
          <w:iCs/>
        </w:rPr>
        <w:t xml:space="preserve"> report associated</w:t>
      </w:r>
      <w:r>
        <w:rPr>
          <w:b/>
          <w:bCs/>
          <w:iCs/>
        </w:rPr>
        <w:t xml:space="preserve"> with </w:t>
      </w:r>
      <w:r w:rsidRPr="00647449">
        <w:rPr>
          <w:b/>
          <w:bCs/>
          <w:iCs/>
        </w:rPr>
        <w:t>the non-receiving RAN node</w:t>
      </w:r>
      <w:r>
        <w:rPr>
          <w:b/>
          <w:bCs/>
          <w:iCs/>
        </w:rPr>
        <w:t>, u</w:t>
      </w:r>
      <w:r w:rsidRPr="00647449">
        <w:rPr>
          <w:b/>
          <w:bCs/>
          <w:iCs/>
        </w:rPr>
        <w:t>se option 1 (</w:t>
      </w:r>
      <w:proofErr w:type="spellStart"/>
      <w:r w:rsidRPr="00647449">
        <w:rPr>
          <w:b/>
          <w:bCs/>
          <w:iCs/>
        </w:rPr>
        <w:t>i.</w:t>
      </w:r>
      <w:proofErr w:type="gramStart"/>
      <w:r w:rsidRPr="00647449">
        <w:rPr>
          <w:b/>
          <w:bCs/>
          <w:iCs/>
        </w:rPr>
        <w:t>e.</w:t>
      </w:r>
      <w:r w:rsidRPr="00647449">
        <w:rPr>
          <w:b/>
          <w:bCs/>
          <w:i/>
        </w:rPr>
        <w:t>MeasurementReportAppLayer</w:t>
      </w:r>
      <w:proofErr w:type="spellEnd"/>
      <w:proofErr w:type="gramEnd"/>
      <w:r w:rsidRPr="00647449">
        <w:rPr>
          <w:b/>
          <w:bCs/>
          <w:iCs/>
        </w:rPr>
        <w:t xml:space="preserve"> message)  to send </w:t>
      </w:r>
      <w:r>
        <w:rPr>
          <w:b/>
          <w:bCs/>
          <w:iCs/>
        </w:rPr>
        <w:t>to the receiving RAN node</w:t>
      </w:r>
      <w:r w:rsidRPr="00647449">
        <w:rPr>
          <w:b/>
          <w:bCs/>
          <w:iCs/>
        </w:rPr>
        <w:t>.</w:t>
      </w:r>
    </w:p>
    <w:p w14:paraId="27B981B2" w14:textId="77777777" w:rsidR="00D61DEE" w:rsidRPr="00133F35" w:rsidRDefault="00D61DEE" w:rsidP="00D61DEE">
      <w:pPr>
        <w:pStyle w:val="BodyText"/>
        <w:jc w:val="left"/>
        <w:rPr>
          <w:b/>
          <w:bCs/>
          <w:iCs/>
        </w:rPr>
      </w:pPr>
      <w:r w:rsidRPr="00133F35">
        <w:rPr>
          <w:b/>
          <w:bCs/>
          <w:iCs/>
        </w:rPr>
        <w:t xml:space="preserve">Proposal 2: </w:t>
      </w:r>
      <w:r>
        <w:rPr>
          <w:b/>
          <w:bCs/>
          <w:iCs/>
        </w:rPr>
        <w:t>S</w:t>
      </w:r>
      <w:r w:rsidRPr="00133F35">
        <w:rPr>
          <w:b/>
          <w:bCs/>
          <w:iCs/>
        </w:rPr>
        <w:t xml:space="preserve">end LS to ask RAN3 whether the </w:t>
      </w:r>
      <w:proofErr w:type="spellStart"/>
      <w:r w:rsidRPr="00133F35">
        <w:rPr>
          <w:b/>
          <w:bCs/>
          <w:iCs/>
        </w:rPr>
        <w:t>RVQoE</w:t>
      </w:r>
      <w:proofErr w:type="spellEnd"/>
      <w:r w:rsidRPr="00133F35">
        <w:rPr>
          <w:b/>
          <w:bCs/>
          <w:iCs/>
        </w:rPr>
        <w:t xml:space="preserve"> measurement associated with the non-receiving RAN node can be visible to the receiving RAN node.</w:t>
      </w:r>
    </w:p>
    <w:p w14:paraId="4D5AF106" w14:textId="66FBF29F" w:rsidR="00393AA7" w:rsidRPr="00393AA7" w:rsidRDefault="00393AA7" w:rsidP="0051279E">
      <w:pPr>
        <w:pStyle w:val="BodyText"/>
        <w:rPr>
          <w:b/>
          <w:bCs/>
          <w:iCs/>
          <w:u w:val="single"/>
        </w:rPr>
      </w:pPr>
      <w:proofErr w:type="spellStart"/>
      <w:r w:rsidRPr="00393AA7">
        <w:rPr>
          <w:u w:val="single"/>
        </w:rPr>
        <w:t>QoE</w:t>
      </w:r>
      <w:proofErr w:type="spellEnd"/>
      <w:r w:rsidRPr="00393AA7">
        <w:rPr>
          <w:u w:val="single"/>
        </w:rPr>
        <w:t xml:space="preserve"> handling during NR-DC mobility,</w:t>
      </w:r>
    </w:p>
    <w:p w14:paraId="62E437C4" w14:textId="77777777" w:rsidR="00287374" w:rsidRDefault="00287374" w:rsidP="00287374">
      <w:pPr>
        <w:pStyle w:val="BodyText"/>
        <w:rPr>
          <w:b/>
          <w:bCs/>
          <w:iCs/>
        </w:rPr>
      </w:pPr>
      <w:r>
        <w:rPr>
          <w:b/>
          <w:bCs/>
          <w:iCs/>
        </w:rPr>
        <w:t>Proposal 3: When SCG is deactivated, UE keeps the QoE configurations which were configured by SN or configured to be reported over SRB5.</w:t>
      </w:r>
    </w:p>
    <w:p w14:paraId="683C4E7D" w14:textId="77777777" w:rsidR="00287374" w:rsidRDefault="00287374" w:rsidP="00287374">
      <w:pPr>
        <w:pStyle w:val="BodyText"/>
        <w:rPr>
          <w:b/>
          <w:bCs/>
          <w:iCs/>
        </w:rPr>
      </w:pPr>
      <w:r>
        <w:rPr>
          <w:b/>
          <w:bCs/>
          <w:iCs/>
        </w:rPr>
        <w:t>Proposal 4:</w:t>
      </w:r>
      <w:r w:rsidRPr="000F7BA6">
        <w:rPr>
          <w:b/>
          <w:bCs/>
          <w:iCs/>
        </w:rPr>
        <w:t xml:space="preserve"> When</w:t>
      </w:r>
      <w:r>
        <w:rPr>
          <w:rFonts w:asciiTheme="minorHAnsi" w:eastAsiaTheme="minorEastAsia" w:hAnsi="Microsoft Sans Serif" w:cstheme="minorBidi"/>
          <w:color w:val="44546A" w:themeColor="text2"/>
          <w:kern w:val="24"/>
          <w:sz w:val="40"/>
          <w:szCs w:val="40"/>
        </w:rPr>
        <w:t xml:space="preserve"> </w:t>
      </w:r>
      <w:r w:rsidRPr="00262346">
        <w:rPr>
          <w:b/>
          <w:bCs/>
          <w:iCs/>
        </w:rPr>
        <w:t>SCG is deactivated</w:t>
      </w:r>
      <w:r>
        <w:rPr>
          <w:b/>
          <w:bCs/>
          <w:iCs/>
        </w:rPr>
        <w:t>, UE can be configured which QoE configurations can be reported over SRB4.</w:t>
      </w:r>
    </w:p>
    <w:p w14:paraId="6C9C0E03" w14:textId="77777777" w:rsidR="00287374" w:rsidRDefault="00287374" w:rsidP="00287374">
      <w:pPr>
        <w:pStyle w:val="BodyText"/>
        <w:rPr>
          <w:b/>
          <w:bCs/>
          <w:iCs/>
        </w:rPr>
      </w:pPr>
      <w:r>
        <w:rPr>
          <w:b/>
          <w:bCs/>
          <w:iCs/>
        </w:rPr>
        <w:t xml:space="preserve">Proposal 5: </w:t>
      </w:r>
      <w:r w:rsidRPr="000F7BA6">
        <w:rPr>
          <w:b/>
          <w:bCs/>
          <w:iCs/>
        </w:rPr>
        <w:t>When</w:t>
      </w:r>
      <w:r>
        <w:rPr>
          <w:rFonts w:asciiTheme="minorHAnsi" w:eastAsiaTheme="minorEastAsia" w:hAnsi="Microsoft Sans Serif" w:cstheme="minorBidi"/>
          <w:color w:val="44546A" w:themeColor="text2"/>
          <w:kern w:val="24"/>
          <w:sz w:val="40"/>
          <w:szCs w:val="40"/>
        </w:rPr>
        <w:t xml:space="preserve"> </w:t>
      </w:r>
      <w:r w:rsidRPr="00262346">
        <w:rPr>
          <w:b/>
          <w:bCs/>
          <w:iCs/>
        </w:rPr>
        <w:t>SCG is deactivated</w:t>
      </w:r>
      <w:r>
        <w:rPr>
          <w:b/>
          <w:bCs/>
          <w:iCs/>
        </w:rPr>
        <w:t xml:space="preserve">, UE indicates data availability for SCG bearer as existing if there is data available for those QoE configurations which are not reconfigured to SRB4. </w:t>
      </w:r>
    </w:p>
    <w:p w14:paraId="514EF7E7" w14:textId="77777777" w:rsidR="00287374" w:rsidRDefault="00287374" w:rsidP="00287374">
      <w:pPr>
        <w:pStyle w:val="BodyText"/>
        <w:rPr>
          <w:b/>
          <w:bCs/>
          <w:iCs/>
        </w:rPr>
      </w:pPr>
      <w:r>
        <w:rPr>
          <w:b/>
          <w:bCs/>
          <w:iCs/>
        </w:rPr>
        <w:t>Proposal 6: When SN is released, UE is indicated which QoE configurations should be released or kept.</w:t>
      </w:r>
    </w:p>
    <w:p w14:paraId="07B6CED5" w14:textId="77777777" w:rsidR="00287374" w:rsidRDefault="00287374" w:rsidP="00287374">
      <w:pPr>
        <w:pStyle w:val="BodyText"/>
        <w:rPr>
          <w:b/>
          <w:bCs/>
          <w:iCs/>
        </w:rPr>
      </w:pPr>
      <w:r>
        <w:rPr>
          <w:b/>
          <w:bCs/>
          <w:iCs/>
        </w:rPr>
        <w:t xml:space="preserve">Proposal 7: Existing SCG failure and recovery procedure are reused, </w:t>
      </w:r>
      <w:proofErr w:type="gramStart"/>
      <w:r>
        <w:rPr>
          <w:b/>
          <w:bCs/>
          <w:iCs/>
        </w:rPr>
        <w:t>i.e.</w:t>
      </w:r>
      <w:proofErr w:type="gramEnd"/>
      <w:r>
        <w:rPr>
          <w:b/>
          <w:bCs/>
          <w:iCs/>
        </w:rPr>
        <w:t xml:space="preserve"> SRB5 bearer and related QoE reporting</w:t>
      </w:r>
      <w:r w:rsidRPr="00437CFE">
        <w:rPr>
          <w:b/>
          <w:bCs/>
          <w:iCs/>
        </w:rPr>
        <w:t xml:space="preserve"> </w:t>
      </w:r>
      <w:r>
        <w:rPr>
          <w:b/>
          <w:bCs/>
          <w:iCs/>
        </w:rPr>
        <w:t>are suspended During SCG failure and recovery.</w:t>
      </w:r>
    </w:p>
    <w:p w14:paraId="32CEBDB9" w14:textId="7FA535CB" w:rsidR="00287374" w:rsidRDefault="00287374" w:rsidP="00287374">
      <w:pPr>
        <w:pStyle w:val="BodyText"/>
        <w:rPr>
          <w:b/>
          <w:bCs/>
          <w:iCs/>
        </w:rPr>
      </w:pPr>
      <w:r>
        <w:rPr>
          <w:b/>
          <w:bCs/>
          <w:iCs/>
        </w:rPr>
        <w:t>Proposal 8:</w:t>
      </w:r>
      <w:r w:rsidRPr="00371F12">
        <w:rPr>
          <w:b/>
          <w:bCs/>
          <w:iCs/>
        </w:rPr>
        <w:t xml:space="preserve"> </w:t>
      </w:r>
      <w:r>
        <w:rPr>
          <w:b/>
          <w:bCs/>
          <w:iCs/>
        </w:rPr>
        <w:t>Existing MCG failure and recovery procedure are reused, SRB4 bearer and related QoE reporting</w:t>
      </w:r>
      <w:r w:rsidRPr="00437CFE">
        <w:rPr>
          <w:b/>
          <w:bCs/>
          <w:iCs/>
        </w:rPr>
        <w:t xml:space="preserve"> </w:t>
      </w:r>
      <w:r>
        <w:rPr>
          <w:b/>
          <w:bCs/>
          <w:iCs/>
        </w:rPr>
        <w:t xml:space="preserve">are suspended During </w:t>
      </w:r>
      <w:r w:rsidR="003E198F">
        <w:rPr>
          <w:b/>
          <w:bCs/>
          <w:iCs/>
        </w:rPr>
        <w:t>M</w:t>
      </w:r>
      <w:r>
        <w:rPr>
          <w:b/>
          <w:bCs/>
          <w:iCs/>
        </w:rPr>
        <w:t>CG failure</w:t>
      </w:r>
      <w:r w:rsidR="00616A9A">
        <w:rPr>
          <w:b/>
          <w:bCs/>
          <w:iCs/>
        </w:rPr>
        <w:t xml:space="preserve"> </w:t>
      </w:r>
      <w:r w:rsidR="00616A9A">
        <w:rPr>
          <w:b/>
          <w:bCs/>
          <w:iCs/>
        </w:rPr>
        <w:t>and recovery</w:t>
      </w:r>
      <w:r>
        <w:rPr>
          <w:b/>
          <w:bCs/>
          <w:iCs/>
        </w:rPr>
        <w:t>.</w:t>
      </w:r>
    </w:p>
    <w:p w14:paraId="6EC42C1D" w14:textId="3F89B1A3" w:rsidR="00854C68" w:rsidRPr="00854C68" w:rsidRDefault="00854C68" w:rsidP="0051279E">
      <w:pPr>
        <w:pStyle w:val="BodyText"/>
        <w:rPr>
          <w:iCs/>
          <w:u w:val="single"/>
        </w:rPr>
      </w:pPr>
      <w:r w:rsidRPr="00854C68">
        <w:rPr>
          <w:iCs/>
          <w:u w:val="single"/>
        </w:rPr>
        <w:t>QoE reporting pause and resume in NR-DC</w:t>
      </w:r>
      <w:r>
        <w:rPr>
          <w:iCs/>
          <w:u w:val="single"/>
        </w:rPr>
        <w:t>,</w:t>
      </w:r>
    </w:p>
    <w:p w14:paraId="119A69EA" w14:textId="77777777" w:rsidR="00AF337B" w:rsidRDefault="00AF337B" w:rsidP="00AF337B">
      <w:pPr>
        <w:pStyle w:val="BodyText"/>
        <w:rPr>
          <w:b/>
          <w:bCs/>
          <w:lang w:eastAsia="zh-CN"/>
        </w:rPr>
      </w:pPr>
      <w:r w:rsidRPr="008A0EFD">
        <w:rPr>
          <w:b/>
          <w:bCs/>
          <w:lang w:eastAsia="zh-CN"/>
        </w:rPr>
        <w:t xml:space="preserve">Proposal </w:t>
      </w:r>
      <w:r>
        <w:rPr>
          <w:b/>
          <w:bCs/>
          <w:lang w:eastAsia="zh-CN"/>
        </w:rPr>
        <w:t>9</w:t>
      </w:r>
      <w:r w:rsidRPr="008A0EFD">
        <w:rPr>
          <w:b/>
          <w:bCs/>
          <w:lang w:eastAsia="zh-CN"/>
        </w:rPr>
        <w:t>:</w:t>
      </w:r>
      <w:r>
        <w:rPr>
          <w:b/>
          <w:bCs/>
          <w:lang w:eastAsia="zh-CN"/>
        </w:rPr>
        <w:t xml:space="preserve"> Per-leg based QoE reporting pause or resume is not introduced. That means if MN is overloaded and SN is not, QoE reporting can be changed to SRB5 (if configured), or vice versa.</w:t>
      </w:r>
    </w:p>
    <w:p w14:paraId="6BDDF2D9" w14:textId="77777777" w:rsidR="00AF337B" w:rsidRDefault="00AF337B" w:rsidP="00AF337B">
      <w:pPr>
        <w:pStyle w:val="BodyText"/>
        <w:rPr>
          <w:b/>
          <w:bCs/>
          <w:lang w:eastAsia="zh-CN"/>
        </w:rPr>
      </w:pPr>
      <w:r>
        <w:rPr>
          <w:b/>
          <w:bCs/>
          <w:lang w:eastAsia="zh-CN"/>
        </w:rPr>
        <w:t>Proposal 10: If both MN and SN are overloaded, network can indicate QoE reporting pause per QoE configuration to UE. It is left to RAN3 which RAN node sends the pause indication to the UE.</w:t>
      </w:r>
    </w:p>
    <w:p w14:paraId="12C31CE1" w14:textId="77777777" w:rsidR="00AF337B" w:rsidRDefault="00AF337B" w:rsidP="00AF337B">
      <w:pPr>
        <w:pStyle w:val="BodyText"/>
        <w:rPr>
          <w:b/>
          <w:bCs/>
          <w:lang w:eastAsia="zh-CN"/>
        </w:rPr>
      </w:pPr>
      <w:r w:rsidRPr="00E10C91">
        <w:rPr>
          <w:b/>
          <w:bCs/>
          <w:lang w:eastAsia="zh-CN"/>
        </w:rPr>
        <w:t xml:space="preserve">Proposal </w:t>
      </w:r>
      <w:r>
        <w:rPr>
          <w:b/>
          <w:bCs/>
          <w:lang w:eastAsia="zh-CN"/>
        </w:rPr>
        <w:t>11</w:t>
      </w:r>
      <w:r w:rsidRPr="00E10C91">
        <w:rPr>
          <w:b/>
          <w:bCs/>
          <w:lang w:eastAsia="zh-CN"/>
        </w:rPr>
        <w:t xml:space="preserve">: </w:t>
      </w:r>
      <w:r>
        <w:rPr>
          <w:b/>
          <w:bCs/>
          <w:lang w:eastAsia="zh-CN"/>
        </w:rPr>
        <w:t xml:space="preserve">When </w:t>
      </w:r>
      <w:r w:rsidRPr="0091412B">
        <w:rPr>
          <w:b/>
          <w:bCs/>
          <w:lang w:eastAsia="zh-CN"/>
        </w:rPr>
        <w:t>network indicate</w:t>
      </w:r>
      <w:r>
        <w:rPr>
          <w:b/>
          <w:bCs/>
          <w:lang w:eastAsia="zh-CN"/>
        </w:rPr>
        <w:t>s</w:t>
      </w:r>
      <w:r w:rsidRPr="0091412B">
        <w:rPr>
          <w:b/>
          <w:bCs/>
          <w:lang w:eastAsia="zh-CN"/>
        </w:rPr>
        <w:t xml:space="preserve"> QoE reporting resume to UE, network can indicate which bearer is used </w:t>
      </w:r>
      <w:r>
        <w:rPr>
          <w:b/>
          <w:bCs/>
          <w:lang w:eastAsia="zh-CN"/>
        </w:rPr>
        <w:t>when</w:t>
      </w:r>
      <w:r w:rsidRPr="0091412B">
        <w:rPr>
          <w:b/>
          <w:bCs/>
          <w:lang w:eastAsia="zh-CN"/>
        </w:rPr>
        <w:t xml:space="preserve"> QoE reporting</w:t>
      </w:r>
      <w:r>
        <w:rPr>
          <w:b/>
          <w:bCs/>
          <w:lang w:eastAsia="zh-CN"/>
        </w:rPr>
        <w:t xml:space="preserve"> is</w:t>
      </w:r>
      <w:r w:rsidRPr="0091412B">
        <w:rPr>
          <w:b/>
          <w:bCs/>
          <w:lang w:eastAsia="zh-CN"/>
        </w:rPr>
        <w:t xml:space="preserve"> resume</w:t>
      </w:r>
      <w:r>
        <w:rPr>
          <w:b/>
          <w:bCs/>
          <w:lang w:eastAsia="zh-CN"/>
        </w:rPr>
        <w:t>d</w:t>
      </w:r>
      <w:r w:rsidRPr="0091412B">
        <w:rPr>
          <w:b/>
          <w:bCs/>
          <w:lang w:eastAsia="zh-CN"/>
        </w:rPr>
        <w:t xml:space="preserve">. </w:t>
      </w:r>
      <w:r w:rsidRPr="00D16308">
        <w:rPr>
          <w:b/>
          <w:bCs/>
          <w:lang w:eastAsia="zh-CN"/>
        </w:rPr>
        <w:t>It is left to RAN3 which RAN node sends the resume indication to the UE.</w:t>
      </w:r>
    </w:p>
    <w:p w14:paraId="58FCFF6F" w14:textId="308C262B" w:rsidR="00AF337B" w:rsidRDefault="00AF337B" w:rsidP="00125096">
      <w:pPr>
        <w:pStyle w:val="BodyText"/>
        <w:rPr>
          <w:b/>
          <w:bCs/>
          <w:lang w:eastAsia="zh-CN"/>
        </w:rPr>
      </w:pPr>
      <w:r w:rsidRPr="00133F35">
        <w:rPr>
          <w:u w:val="single"/>
        </w:rPr>
        <w:t>RVQoE reporting,</w:t>
      </w:r>
    </w:p>
    <w:p w14:paraId="0CAC5949" w14:textId="77777777" w:rsidR="00AF337B" w:rsidRPr="000F7BA6" w:rsidRDefault="00AF337B" w:rsidP="00AF337B">
      <w:pPr>
        <w:pStyle w:val="Comments"/>
        <w:rPr>
          <w:b/>
          <w:bCs/>
          <w:i w:val="0"/>
          <w:iCs/>
          <w:sz w:val="20"/>
          <w:lang w:val="en-US" w:eastAsia="en-US"/>
        </w:rPr>
      </w:pPr>
      <w:r>
        <w:rPr>
          <w:b/>
          <w:bCs/>
          <w:i w:val="0"/>
          <w:iCs/>
          <w:sz w:val="20"/>
          <w:lang w:val="en-US" w:eastAsia="en-US"/>
        </w:rPr>
        <w:t xml:space="preserve">Proposal 12: </w:t>
      </w:r>
      <w:r w:rsidRPr="00332834">
        <w:rPr>
          <w:b/>
          <w:bCs/>
          <w:i w:val="0"/>
          <w:iCs/>
          <w:sz w:val="20"/>
          <w:lang w:val="en-US" w:eastAsia="en-US"/>
        </w:rPr>
        <w:t>RAN node should indicate which bearer should be used for RVQoE reporting per QoE configuration.</w:t>
      </w:r>
    </w:p>
    <w:p w14:paraId="7E448709" w14:textId="77777777" w:rsidR="007B494F" w:rsidRPr="00427355"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27355">
        <w:rPr>
          <w:rFonts w:cs="Times New Roman"/>
          <w:b w:val="0"/>
          <w:bCs w:val="0"/>
          <w:kern w:val="0"/>
          <w:sz w:val="36"/>
          <w:szCs w:val="20"/>
        </w:rPr>
        <w:t>Reference</w:t>
      </w:r>
    </w:p>
    <w:p w14:paraId="08A8AFB1" w14:textId="76F68AC6" w:rsidR="006B644F" w:rsidRPr="00427355" w:rsidRDefault="006B644F" w:rsidP="006B644F">
      <w:pPr>
        <w:rPr>
          <w:lang w:eastAsia="zh-CN"/>
        </w:rPr>
      </w:pPr>
      <w:r w:rsidRPr="00427355">
        <w:t xml:space="preserve">[1]    RP-221803: Enhancement on </w:t>
      </w:r>
      <w:r w:rsidRPr="00427355">
        <w:rPr>
          <w:lang w:eastAsia="zh-CN"/>
        </w:rPr>
        <w:t>NR QoE management and optimizations for diverse services</w:t>
      </w:r>
    </w:p>
    <w:p w14:paraId="35A7A569" w14:textId="1FCDBAC5" w:rsidR="006F4EA4" w:rsidRPr="00427355" w:rsidRDefault="006F4EA4" w:rsidP="003164E5">
      <w:r w:rsidRPr="00427355">
        <w:t>[4]    RAN</w:t>
      </w:r>
      <w:r w:rsidR="00697145">
        <w:t>2</w:t>
      </w:r>
      <w:r w:rsidRPr="00427355">
        <w:t xml:space="preserve"> #1</w:t>
      </w:r>
      <w:r w:rsidR="00697145">
        <w:t>2</w:t>
      </w:r>
      <w:r w:rsidR="00F40636">
        <w:t>2</w:t>
      </w:r>
      <w:r w:rsidRPr="00427355">
        <w:t xml:space="preserve"> Chair Notes.</w:t>
      </w:r>
    </w:p>
    <w:p w14:paraId="428C96C9" w14:textId="77777777" w:rsidR="00DF46C2" w:rsidRPr="00427355" w:rsidRDefault="00DF46C2" w:rsidP="007D7866">
      <w:pPr>
        <w:rPr>
          <w:rFonts w:eastAsia="SimSun" w:cs="Arial"/>
          <w:szCs w:val="20"/>
          <w:lang w:eastAsia="zh-CN"/>
        </w:rPr>
      </w:pPr>
    </w:p>
    <w:p w14:paraId="519DA754" w14:textId="77777777" w:rsidR="00D81B11" w:rsidRPr="00427355" w:rsidRDefault="00D81B11" w:rsidP="00EE342A">
      <w:pPr>
        <w:rPr>
          <w:rFonts w:eastAsia="SimSun" w:cs="Arial"/>
          <w:szCs w:val="20"/>
          <w:lang w:eastAsia="zh-CN"/>
        </w:rPr>
      </w:pPr>
    </w:p>
    <w:p w14:paraId="5E6EDB73" w14:textId="77777777" w:rsidR="00711995" w:rsidRPr="00427355" w:rsidRDefault="00711995" w:rsidP="00711995">
      <w:pPr>
        <w:pStyle w:val="BodyText"/>
        <w:rPr>
          <w:lang w:eastAsia="zh-CN"/>
        </w:rPr>
      </w:pPr>
    </w:p>
    <w:sectPr w:rsidR="00711995" w:rsidRPr="00427355">
      <w:headerReference w:type="default" r:id="rId15"/>
      <w:footerReference w:type="default" r:id="rId16"/>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3AAB8" w14:textId="77777777" w:rsidR="008D1DEC" w:rsidRDefault="008D1DEC">
      <w:r>
        <w:separator/>
      </w:r>
    </w:p>
  </w:endnote>
  <w:endnote w:type="continuationSeparator" w:id="0">
    <w:p w14:paraId="24E68D4B" w14:textId="77777777" w:rsidR="008D1DEC" w:rsidRDefault="008D1DEC">
      <w:r>
        <w:continuationSeparator/>
      </w:r>
    </w:p>
  </w:endnote>
  <w:endnote w:type="continuationNotice" w:id="1">
    <w:p w14:paraId="6378A5CA" w14:textId="77777777" w:rsidR="008D1DEC" w:rsidRDefault="008D1DE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4C1FD" w14:textId="77777777" w:rsidR="008D1DEC" w:rsidRDefault="008D1DEC">
      <w:r>
        <w:separator/>
      </w:r>
    </w:p>
  </w:footnote>
  <w:footnote w:type="continuationSeparator" w:id="0">
    <w:p w14:paraId="04E8F750" w14:textId="77777777" w:rsidR="008D1DEC" w:rsidRDefault="008D1DEC">
      <w:r>
        <w:continuationSeparator/>
      </w:r>
    </w:p>
  </w:footnote>
  <w:footnote w:type="continuationNotice" w:id="1">
    <w:p w14:paraId="3FCEDB2F" w14:textId="77777777" w:rsidR="008D1DEC" w:rsidRDefault="008D1DE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38A1AC6"/>
    <w:multiLevelType w:val="hybridMultilevel"/>
    <w:tmpl w:val="84C6299C"/>
    <w:lvl w:ilvl="0" w:tplc="C1A8C0CA">
      <w:start w:val="1"/>
      <w:numFmt w:val="bullet"/>
      <w:lvlText w:val="–"/>
      <w:lvlJc w:val="left"/>
      <w:pPr>
        <w:tabs>
          <w:tab w:val="num" w:pos="720"/>
        </w:tabs>
        <w:ind w:left="720" w:hanging="360"/>
      </w:pPr>
      <w:rPr>
        <w:rFonts w:ascii="Times New Roman" w:hAnsi="Times New Roman" w:hint="default"/>
      </w:rPr>
    </w:lvl>
    <w:lvl w:ilvl="1" w:tplc="9BC69952">
      <w:start w:val="1"/>
      <w:numFmt w:val="bullet"/>
      <w:lvlText w:val="–"/>
      <w:lvlJc w:val="left"/>
      <w:pPr>
        <w:tabs>
          <w:tab w:val="num" w:pos="1440"/>
        </w:tabs>
        <w:ind w:left="1440" w:hanging="360"/>
      </w:pPr>
      <w:rPr>
        <w:rFonts w:ascii="Times New Roman" w:hAnsi="Times New Roman" w:hint="default"/>
      </w:rPr>
    </w:lvl>
    <w:lvl w:ilvl="2" w:tplc="74BE2AF8" w:tentative="1">
      <w:start w:val="1"/>
      <w:numFmt w:val="bullet"/>
      <w:lvlText w:val="–"/>
      <w:lvlJc w:val="left"/>
      <w:pPr>
        <w:tabs>
          <w:tab w:val="num" w:pos="2160"/>
        </w:tabs>
        <w:ind w:left="2160" w:hanging="360"/>
      </w:pPr>
      <w:rPr>
        <w:rFonts w:ascii="Times New Roman" w:hAnsi="Times New Roman" w:hint="default"/>
      </w:rPr>
    </w:lvl>
    <w:lvl w:ilvl="3" w:tplc="F0D6EB18" w:tentative="1">
      <w:start w:val="1"/>
      <w:numFmt w:val="bullet"/>
      <w:lvlText w:val="–"/>
      <w:lvlJc w:val="left"/>
      <w:pPr>
        <w:tabs>
          <w:tab w:val="num" w:pos="2880"/>
        </w:tabs>
        <w:ind w:left="2880" w:hanging="360"/>
      </w:pPr>
      <w:rPr>
        <w:rFonts w:ascii="Times New Roman" w:hAnsi="Times New Roman" w:hint="default"/>
      </w:rPr>
    </w:lvl>
    <w:lvl w:ilvl="4" w:tplc="A2E84ED8" w:tentative="1">
      <w:start w:val="1"/>
      <w:numFmt w:val="bullet"/>
      <w:lvlText w:val="–"/>
      <w:lvlJc w:val="left"/>
      <w:pPr>
        <w:tabs>
          <w:tab w:val="num" w:pos="3600"/>
        </w:tabs>
        <w:ind w:left="3600" w:hanging="360"/>
      </w:pPr>
      <w:rPr>
        <w:rFonts w:ascii="Times New Roman" w:hAnsi="Times New Roman" w:hint="default"/>
      </w:rPr>
    </w:lvl>
    <w:lvl w:ilvl="5" w:tplc="06B0EAAE" w:tentative="1">
      <w:start w:val="1"/>
      <w:numFmt w:val="bullet"/>
      <w:lvlText w:val="–"/>
      <w:lvlJc w:val="left"/>
      <w:pPr>
        <w:tabs>
          <w:tab w:val="num" w:pos="4320"/>
        </w:tabs>
        <w:ind w:left="4320" w:hanging="360"/>
      </w:pPr>
      <w:rPr>
        <w:rFonts w:ascii="Times New Roman" w:hAnsi="Times New Roman" w:hint="default"/>
      </w:rPr>
    </w:lvl>
    <w:lvl w:ilvl="6" w:tplc="98E64CD0" w:tentative="1">
      <w:start w:val="1"/>
      <w:numFmt w:val="bullet"/>
      <w:lvlText w:val="–"/>
      <w:lvlJc w:val="left"/>
      <w:pPr>
        <w:tabs>
          <w:tab w:val="num" w:pos="5040"/>
        </w:tabs>
        <w:ind w:left="5040" w:hanging="360"/>
      </w:pPr>
      <w:rPr>
        <w:rFonts w:ascii="Times New Roman" w:hAnsi="Times New Roman" w:hint="default"/>
      </w:rPr>
    </w:lvl>
    <w:lvl w:ilvl="7" w:tplc="1546A446" w:tentative="1">
      <w:start w:val="1"/>
      <w:numFmt w:val="bullet"/>
      <w:lvlText w:val="–"/>
      <w:lvlJc w:val="left"/>
      <w:pPr>
        <w:tabs>
          <w:tab w:val="num" w:pos="5760"/>
        </w:tabs>
        <w:ind w:left="5760" w:hanging="360"/>
      </w:pPr>
      <w:rPr>
        <w:rFonts w:ascii="Times New Roman" w:hAnsi="Times New Roman" w:hint="default"/>
      </w:rPr>
    </w:lvl>
    <w:lvl w:ilvl="8" w:tplc="B9884480"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5C64305B"/>
    <w:multiLevelType w:val="hybridMultilevel"/>
    <w:tmpl w:val="BD3E7532"/>
    <w:lvl w:ilvl="0" w:tplc="E87C7C72">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9"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1"/>
  </w:num>
  <w:num w:numId="2">
    <w:abstractNumId w:val="9"/>
  </w:num>
  <w:num w:numId="3">
    <w:abstractNumId w:val="2"/>
  </w:num>
  <w:num w:numId="4">
    <w:abstractNumId w:val="5"/>
  </w:num>
  <w:num w:numId="5">
    <w:abstractNumId w:val="3"/>
  </w:num>
  <w:num w:numId="6">
    <w:abstractNumId w:val="7"/>
  </w:num>
  <w:num w:numId="7">
    <w:abstractNumId w:val="8"/>
  </w:num>
  <w:num w:numId="8">
    <w:abstractNumId w:val="0"/>
  </w:num>
  <w:num w:numId="9">
    <w:abstractNumId w:val="4"/>
  </w:num>
  <w:num w:numId="10">
    <w:abstractNumId w:val="0"/>
  </w:num>
  <w:num w:numId="11">
    <w:abstractNumId w:val="4"/>
  </w:num>
  <w:num w:numId="12">
    <w:abstractNumId w:val="10"/>
  </w:num>
  <w:num w:numId="13">
    <w:abstractNumId w:val="6"/>
  </w:num>
  <w:num w:numId="14">
    <w:abstractNumId w:val="1"/>
  </w:num>
  <w:num w:numId="15">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D35"/>
    <w:rsid w:val="00004F59"/>
    <w:rsid w:val="00005012"/>
    <w:rsid w:val="000050BE"/>
    <w:rsid w:val="0000510E"/>
    <w:rsid w:val="0000539E"/>
    <w:rsid w:val="000054C0"/>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4FB1"/>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0DAE"/>
    <w:rsid w:val="000210F0"/>
    <w:rsid w:val="0002195F"/>
    <w:rsid w:val="00021B1B"/>
    <w:rsid w:val="00021C03"/>
    <w:rsid w:val="00022A7D"/>
    <w:rsid w:val="00022CC1"/>
    <w:rsid w:val="000230A5"/>
    <w:rsid w:val="000233C5"/>
    <w:rsid w:val="0002396B"/>
    <w:rsid w:val="000241CB"/>
    <w:rsid w:val="000247C2"/>
    <w:rsid w:val="00024BDF"/>
    <w:rsid w:val="00024E61"/>
    <w:rsid w:val="000250AB"/>
    <w:rsid w:val="0002552A"/>
    <w:rsid w:val="000259FD"/>
    <w:rsid w:val="00025A64"/>
    <w:rsid w:val="00025A75"/>
    <w:rsid w:val="000260C1"/>
    <w:rsid w:val="00026364"/>
    <w:rsid w:val="00026636"/>
    <w:rsid w:val="000269D6"/>
    <w:rsid w:val="00026DF0"/>
    <w:rsid w:val="0002752C"/>
    <w:rsid w:val="0002754F"/>
    <w:rsid w:val="00027AE4"/>
    <w:rsid w:val="00027B2F"/>
    <w:rsid w:val="000301F2"/>
    <w:rsid w:val="000303BA"/>
    <w:rsid w:val="00030815"/>
    <w:rsid w:val="00030BD6"/>
    <w:rsid w:val="00030DFC"/>
    <w:rsid w:val="00030F28"/>
    <w:rsid w:val="00031232"/>
    <w:rsid w:val="00031964"/>
    <w:rsid w:val="00032516"/>
    <w:rsid w:val="000325F7"/>
    <w:rsid w:val="00032945"/>
    <w:rsid w:val="00032C55"/>
    <w:rsid w:val="0003361F"/>
    <w:rsid w:val="000338A4"/>
    <w:rsid w:val="00033C00"/>
    <w:rsid w:val="00033D65"/>
    <w:rsid w:val="000340A1"/>
    <w:rsid w:val="000340B0"/>
    <w:rsid w:val="00034864"/>
    <w:rsid w:val="00034D7E"/>
    <w:rsid w:val="00035543"/>
    <w:rsid w:val="000356EB"/>
    <w:rsid w:val="00035C55"/>
    <w:rsid w:val="00035E82"/>
    <w:rsid w:val="000362AB"/>
    <w:rsid w:val="000363AE"/>
    <w:rsid w:val="000363FD"/>
    <w:rsid w:val="0003663D"/>
    <w:rsid w:val="00036A3E"/>
    <w:rsid w:val="00036A5B"/>
    <w:rsid w:val="00036A76"/>
    <w:rsid w:val="00036CBB"/>
    <w:rsid w:val="00037533"/>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D6B"/>
    <w:rsid w:val="00041E6C"/>
    <w:rsid w:val="000421F2"/>
    <w:rsid w:val="00042416"/>
    <w:rsid w:val="00042512"/>
    <w:rsid w:val="0004263F"/>
    <w:rsid w:val="00042725"/>
    <w:rsid w:val="00042955"/>
    <w:rsid w:val="00043069"/>
    <w:rsid w:val="000430C3"/>
    <w:rsid w:val="00043726"/>
    <w:rsid w:val="000437B0"/>
    <w:rsid w:val="000439AD"/>
    <w:rsid w:val="000439E7"/>
    <w:rsid w:val="00043E0A"/>
    <w:rsid w:val="00043ECF"/>
    <w:rsid w:val="00043F7C"/>
    <w:rsid w:val="000441F5"/>
    <w:rsid w:val="00044275"/>
    <w:rsid w:val="000442B7"/>
    <w:rsid w:val="00044623"/>
    <w:rsid w:val="0004470A"/>
    <w:rsid w:val="00044FD9"/>
    <w:rsid w:val="00045071"/>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9AF"/>
    <w:rsid w:val="00052A79"/>
    <w:rsid w:val="00052CAE"/>
    <w:rsid w:val="00053004"/>
    <w:rsid w:val="000537F7"/>
    <w:rsid w:val="00053D7E"/>
    <w:rsid w:val="00053FA9"/>
    <w:rsid w:val="000540C0"/>
    <w:rsid w:val="00054506"/>
    <w:rsid w:val="00054698"/>
    <w:rsid w:val="0005477E"/>
    <w:rsid w:val="00054821"/>
    <w:rsid w:val="00054868"/>
    <w:rsid w:val="00054E47"/>
    <w:rsid w:val="00055790"/>
    <w:rsid w:val="000559D2"/>
    <w:rsid w:val="00055C58"/>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4FD"/>
    <w:rsid w:val="00062DA5"/>
    <w:rsid w:val="000639E3"/>
    <w:rsid w:val="00063A42"/>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A32"/>
    <w:rsid w:val="00070FAC"/>
    <w:rsid w:val="000710A9"/>
    <w:rsid w:val="00071A17"/>
    <w:rsid w:val="00071D9D"/>
    <w:rsid w:val="00071DFD"/>
    <w:rsid w:val="00071E64"/>
    <w:rsid w:val="00071E7A"/>
    <w:rsid w:val="00071EBA"/>
    <w:rsid w:val="0007205F"/>
    <w:rsid w:val="000722A7"/>
    <w:rsid w:val="00072303"/>
    <w:rsid w:val="000725F5"/>
    <w:rsid w:val="00072925"/>
    <w:rsid w:val="00072A03"/>
    <w:rsid w:val="00072F23"/>
    <w:rsid w:val="00072F9F"/>
    <w:rsid w:val="00073121"/>
    <w:rsid w:val="000731F9"/>
    <w:rsid w:val="0007339F"/>
    <w:rsid w:val="0007378E"/>
    <w:rsid w:val="000738A7"/>
    <w:rsid w:val="00073A54"/>
    <w:rsid w:val="00074227"/>
    <w:rsid w:val="000743A4"/>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B21"/>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B93"/>
    <w:rsid w:val="00083C3C"/>
    <w:rsid w:val="00083C89"/>
    <w:rsid w:val="00083CDA"/>
    <w:rsid w:val="000841C4"/>
    <w:rsid w:val="00084552"/>
    <w:rsid w:val="000845DD"/>
    <w:rsid w:val="000849C5"/>
    <w:rsid w:val="00084C5E"/>
    <w:rsid w:val="00084E6B"/>
    <w:rsid w:val="00084FDF"/>
    <w:rsid w:val="000850CE"/>
    <w:rsid w:val="00085191"/>
    <w:rsid w:val="00085374"/>
    <w:rsid w:val="0008561E"/>
    <w:rsid w:val="00085970"/>
    <w:rsid w:val="00085C27"/>
    <w:rsid w:val="00085FF2"/>
    <w:rsid w:val="00086187"/>
    <w:rsid w:val="0008625E"/>
    <w:rsid w:val="00086CD2"/>
    <w:rsid w:val="00086E8D"/>
    <w:rsid w:val="00087154"/>
    <w:rsid w:val="0008746D"/>
    <w:rsid w:val="000876BC"/>
    <w:rsid w:val="00087CF0"/>
    <w:rsid w:val="00087EED"/>
    <w:rsid w:val="0009096A"/>
    <w:rsid w:val="0009098E"/>
    <w:rsid w:val="00090A63"/>
    <w:rsid w:val="00090F7A"/>
    <w:rsid w:val="00090FD2"/>
    <w:rsid w:val="00091C53"/>
    <w:rsid w:val="00091C8C"/>
    <w:rsid w:val="00091C96"/>
    <w:rsid w:val="00091EFF"/>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D59"/>
    <w:rsid w:val="00095F1B"/>
    <w:rsid w:val="00095F77"/>
    <w:rsid w:val="00096140"/>
    <w:rsid w:val="0009630A"/>
    <w:rsid w:val="00096648"/>
    <w:rsid w:val="00096E01"/>
    <w:rsid w:val="00096E69"/>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995"/>
    <w:rsid w:val="000A2A46"/>
    <w:rsid w:val="000A2A80"/>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B34"/>
    <w:rsid w:val="000A7BAF"/>
    <w:rsid w:val="000A7C1B"/>
    <w:rsid w:val="000B0969"/>
    <w:rsid w:val="000B10FC"/>
    <w:rsid w:val="000B15E4"/>
    <w:rsid w:val="000B17B6"/>
    <w:rsid w:val="000B17FB"/>
    <w:rsid w:val="000B1C22"/>
    <w:rsid w:val="000B1EDB"/>
    <w:rsid w:val="000B2546"/>
    <w:rsid w:val="000B2F47"/>
    <w:rsid w:val="000B3216"/>
    <w:rsid w:val="000B3390"/>
    <w:rsid w:val="000B33C5"/>
    <w:rsid w:val="000B33C6"/>
    <w:rsid w:val="000B36EE"/>
    <w:rsid w:val="000B38F9"/>
    <w:rsid w:val="000B3E49"/>
    <w:rsid w:val="000B3F5F"/>
    <w:rsid w:val="000B3F76"/>
    <w:rsid w:val="000B40D1"/>
    <w:rsid w:val="000B4A1F"/>
    <w:rsid w:val="000B4A87"/>
    <w:rsid w:val="000B555C"/>
    <w:rsid w:val="000B5795"/>
    <w:rsid w:val="000B57E2"/>
    <w:rsid w:val="000B5988"/>
    <w:rsid w:val="000B5C5C"/>
    <w:rsid w:val="000B5CE8"/>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957"/>
    <w:rsid w:val="000C3A0A"/>
    <w:rsid w:val="000C3B85"/>
    <w:rsid w:val="000C41E5"/>
    <w:rsid w:val="000C491C"/>
    <w:rsid w:val="000C4C7E"/>
    <w:rsid w:val="000C4D73"/>
    <w:rsid w:val="000C515A"/>
    <w:rsid w:val="000C51E4"/>
    <w:rsid w:val="000C5424"/>
    <w:rsid w:val="000C588B"/>
    <w:rsid w:val="000C619C"/>
    <w:rsid w:val="000C63F6"/>
    <w:rsid w:val="000C65AB"/>
    <w:rsid w:val="000C70FF"/>
    <w:rsid w:val="000C7428"/>
    <w:rsid w:val="000D02FA"/>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5391"/>
    <w:rsid w:val="000D5C1C"/>
    <w:rsid w:val="000D5EB0"/>
    <w:rsid w:val="000D60D3"/>
    <w:rsid w:val="000D6312"/>
    <w:rsid w:val="000D6799"/>
    <w:rsid w:val="000D6A54"/>
    <w:rsid w:val="000E009F"/>
    <w:rsid w:val="000E068D"/>
    <w:rsid w:val="000E0F87"/>
    <w:rsid w:val="000E10F9"/>
    <w:rsid w:val="000E1200"/>
    <w:rsid w:val="000E157C"/>
    <w:rsid w:val="000E15B8"/>
    <w:rsid w:val="000E15F8"/>
    <w:rsid w:val="000E1909"/>
    <w:rsid w:val="000E1B02"/>
    <w:rsid w:val="000E2ACC"/>
    <w:rsid w:val="000E2C4C"/>
    <w:rsid w:val="000E2CD1"/>
    <w:rsid w:val="000E2F9B"/>
    <w:rsid w:val="000E33F6"/>
    <w:rsid w:val="000E350A"/>
    <w:rsid w:val="000E3C6B"/>
    <w:rsid w:val="000E41A1"/>
    <w:rsid w:val="000E4629"/>
    <w:rsid w:val="000E4C5B"/>
    <w:rsid w:val="000E4E21"/>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193"/>
    <w:rsid w:val="000F4A70"/>
    <w:rsid w:val="000F4BF3"/>
    <w:rsid w:val="000F5001"/>
    <w:rsid w:val="000F57D5"/>
    <w:rsid w:val="000F5919"/>
    <w:rsid w:val="000F5C3D"/>
    <w:rsid w:val="000F5CFD"/>
    <w:rsid w:val="000F6008"/>
    <w:rsid w:val="000F62FB"/>
    <w:rsid w:val="000F64C8"/>
    <w:rsid w:val="000F671D"/>
    <w:rsid w:val="000F6A73"/>
    <w:rsid w:val="000F6BFC"/>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7CA"/>
    <w:rsid w:val="00101B5A"/>
    <w:rsid w:val="00101BCC"/>
    <w:rsid w:val="00101BDA"/>
    <w:rsid w:val="00101C22"/>
    <w:rsid w:val="00102497"/>
    <w:rsid w:val="00102606"/>
    <w:rsid w:val="001027FD"/>
    <w:rsid w:val="00102B86"/>
    <w:rsid w:val="00102BA1"/>
    <w:rsid w:val="00102F05"/>
    <w:rsid w:val="00103160"/>
    <w:rsid w:val="00103253"/>
    <w:rsid w:val="001032FB"/>
    <w:rsid w:val="00103804"/>
    <w:rsid w:val="00103937"/>
    <w:rsid w:val="00103970"/>
    <w:rsid w:val="00103B3C"/>
    <w:rsid w:val="00104119"/>
    <w:rsid w:val="00104839"/>
    <w:rsid w:val="0010493D"/>
    <w:rsid w:val="00104DA0"/>
    <w:rsid w:val="00105160"/>
    <w:rsid w:val="001052D8"/>
    <w:rsid w:val="001053C1"/>
    <w:rsid w:val="00105570"/>
    <w:rsid w:val="001056CB"/>
    <w:rsid w:val="00105812"/>
    <w:rsid w:val="001058F5"/>
    <w:rsid w:val="00106319"/>
    <w:rsid w:val="001064BA"/>
    <w:rsid w:val="001067A4"/>
    <w:rsid w:val="00106BC9"/>
    <w:rsid w:val="00106F64"/>
    <w:rsid w:val="00106F9B"/>
    <w:rsid w:val="0010706D"/>
    <w:rsid w:val="00107304"/>
    <w:rsid w:val="001109E6"/>
    <w:rsid w:val="00111215"/>
    <w:rsid w:val="001113AF"/>
    <w:rsid w:val="00111462"/>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B5E"/>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1EF"/>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B33"/>
    <w:rsid w:val="00123B74"/>
    <w:rsid w:val="00123E23"/>
    <w:rsid w:val="00123E88"/>
    <w:rsid w:val="00124026"/>
    <w:rsid w:val="0012412F"/>
    <w:rsid w:val="0012419F"/>
    <w:rsid w:val="00124BE6"/>
    <w:rsid w:val="00124F19"/>
    <w:rsid w:val="00125096"/>
    <w:rsid w:val="00125577"/>
    <w:rsid w:val="00125C01"/>
    <w:rsid w:val="00125CA4"/>
    <w:rsid w:val="00125ED7"/>
    <w:rsid w:val="001260D0"/>
    <w:rsid w:val="0012613B"/>
    <w:rsid w:val="001263A1"/>
    <w:rsid w:val="0012676B"/>
    <w:rsid w:val="00126884"/>
    <w:rsid w:val="001268D2"/>
    <w:rsid w:val="00126A1D"/>
    <w:rsid w:val="00126ADD"/>
    <w:rsid w:val="00126B54"/>
    <w:rsid w:val="00126B74"/>
    <w:rsid w:val="00127206"/>
    <w:rsid w:val="00127882"/>
    <w:rsid w:val="001279D0"/>
    <w:rsid w:val="00127EA2"/>
    <w:rsid w:val="00130594"/>
    <w:rsid w:val="00130610"/>
    <w:rsid w:val="00130753"/>
    <w:rsid w:val="00130B3A"/>
    <w:rsid w:val="00130B79"/>
    <w:rsid w:val="00130B83"/>
    <w:rsid w:val="00130C2D"/>
    <w:rsid w:val="00130EAE"/>
    <w:rsid w:val="001326B7"/>
    <w:rsid w:val="00132BAC"/>
    <w:rsid w:val="00132CFC"/>
    <w:rsid w:val="001333C8"/>
    <w:rsid w:val="0013361D"/>
    <w:rsid w:val="00133F35"/>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22E"/>
    <w:rsid w:val="00137384"/>
    <w:rsid w:val="001379C3"/>
    <w:rsid w:val="00137CD3"/>
    <w:rsid w:val="00137EE8"/>
    <w:rsid w:val="001405C9"/>
    <w:rsid w:val="00140A67"/>
    <w:rsid w:val="00140E1E"/>
    <w:rsid w:val="00140E68"/>
    <w:rsid w:val="00140EF5"/>
    <w:rsid w:val="00141093"/>
    <w:rsid w:val="001410A9"/>
    <w:rsid w:val="00141178"/>
    <w:rsid w:val="0014168C"/>
    <w:rsid w:val="00141757"/>
    <w:rsid w:val="00141AC2"/>
    <w:rsid w:val="00141B8E"/>
    <w:rsid w:val="00141D92"/>
    <w:rsid w:val="001421D0"/>
    <w:rsid w:val="0014227B"/>
    <w:rsid w:val="00142547"/>
    <w:rsid w:val="001426D9"/>
    <w:rsid w:val="001427C7"/>
    <w:rsid w:val="00142ED4"/>
    <w:rsid w:val="0014342B"/>
    <w:rsid w:val="00143AA1"/>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288"/>
    <w:rsid w:val="001513BF"/>
    <w:rsid w:val="0015172E"/>
    <w:rsid w:val="00151B43"/>
    <w:rsid w:val="00151BB2"/>
    <w:rsid w:val="00151DED"/>
    <w:rsid w:val="00151E68"/>
    <w:rsid w:val="0015246B"/>
    <w:rsid w:val="001525F1"/>
    <w:rsid w:val="00152A66"/>
    <w:rsid w:val="00153000"/>
    <w:rsid w:val="00153079"/>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8EA"/>
    <w:rsid w:val="00164BB8"/>
    <w:rsid w:val="00164C30"/>
    <w:rsid w:val="00164D4A"/>
    <w:rsid w:val="00164D4B"/>
    <w:rsid w:val="00165029"/>
    <w:rsid w:val="0016548D"/>
    <w:rsid w:val="0016558D"/>
    <w:rsid w:val="0016584C"/>
    <w:rsid w:val="00165F6C"/>
    <w:rsid w:val="001665E6"/>
    <w:rsid w:val="00166941"/>
    <w:rsid w:val="00166AE0"/>
    <w:rsid w:val="00167384"/>
    <w:rsid w:val="001673A3"/>
    <w:rsid w:val="00167535"/>
    <w:rsid w:val="001678FF"/>
    <w:rsid w:val="00167B82"/>
    <w:rsid w:val="00167C0C"/>
    <w:rsid w:val="00167DCF"/>
    <w:rsid w:val="00167E3C"/>
    <w:rsid w:val="001700AC"/>
    <w:rsid w:val="001702B2"/>
    <w:rsid w:val="001706C6"/>
    <w:rsid w:val="00170D15"/>
    <w:rsid w:val="00170ED8"/>
    <w:rsid w:val="00171044"/>
    <w:rsid w:val="00171914"/>
    <w:rsid w:val="00171C3F"/>
    <w:rsid w:val="00172077"/>
    <w:rsid w:val="00172CE6"/>
    <w:rsid w:val="00172D82"/>
    <w:rsid w:val="00172D8C"/>
    <w:rsid w:val="00172FB6"/>
    <w:rsid w:val="00172FBD"/>
    <w:rsid w:val="00173855"/>
    <w:rsid w:val="00173B69"/>
    <w:rsid w:val="00173B6B"/>
    <w:rsid w:val="00174110"/>
    <w:rsid w:val="001743B2"/>
    <w:rsid w:val="00174534"/>
    <w:rsid w:val="00174579"/>
    <w:rsid w:val="00174717"/>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A0D"/>
    <w:rsid w:val="00185574"/>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0AAE"/>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61CD"/>
    <w:rsid w:val="001963FB"/>
    <w:rsid w:val="00196852"/>
    <w:rsid w:val="00196A0E"/>
    <w:rsid w:val="00196D7A"/>
    <w:rsid w:val="00196DC5"/>
    <w:rsid w:val="001970DE"/>
    <w:rsid w:val="00197119"/>
    <w:rsid w:val="00197246"/>
    <w:rsid w:val="00197651"/>
    <w:rsid w:val="00197B2C"/>
    <w:rsid w:val="00197F81"/>
    <w:rsid w:val="001A0275"/>
    <w:rsid w:val="001A04D0"/>
    <w:rsid w:val="001A09DD"/>
    <w:rsid w:val="001A127F"/>
    <w:rsid w:val="001A1539"/>
    <w:rsid w:val="001A181F"/>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697"/>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6B3"/>
    <w:rsid w:val="001B09AD"/>
    <w:rsid w:val="001B0E64"/>
    <w:rsid w:val="001B1120"/>
    <w:rsid w:val="001B1723"/>
    <w:rsid w:val="001B1964"/>
    <w:rsid w:val="001B1D92"/>
    <w:rsid w:val="001B237C"/>
    <w:rsid w:val="001B23D5"/>
    <w:rsid w:val="001B2408"/>
    <w:rsid w:val="001B282D"/>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3F01"/>
    <w:rsid w:val="001C4029"/>
    <w:rsid w:val="001C41EF"/>
    <w:rsid w:val="001C42C6"/>
    <w:rsid w:val="001C4387"/>
    <w:rsid w:val="001C43BF"/>
    <w:rsid w:val="001C4BA1"/>
    <w:rsid w:val="001C4CD5"/>
    <w:rsid w:val="001C4D23"/>
    <w:rsid w:val="001C4F0D"/>
    <w:rsid w:val="001C50E0"/>
    <w:rsid w:val="001C5268"/>
    <w:rsid w:val="001C56C5"/>
    <w:rsid w:val="001C5924"/>
    <w:rsid w:val="001C5AE9"/>
    <w:rsid w:val="001C5C41"/>
    <w:rsid w:val="001C5C44"/>
    <w:rsid w:val="001C5D2D"/>
    <w:rsid w:val="001C5EFA"/>
    <w:rsid w:val="001C626F"/>
    <w:rsid w:val="001C66A7"/>
    <w:rsid w:val="001C6702"/>
    <w:rsid w:val="001C6CE1"/>
    <w:rsid w:val="001C7268"/>
    <w:rsid w:val="001C74D9"/>
    <w:rsid w:val="001C78FA"/>
    <w:rsid w:val="001C78FC"/>
    <w:rsid w:val="001D02C9"/>
    <w:rsid w:val="001D096F"/>
    <w:rsid w:val="001D0DD1"/>
    <w:rsid w:val="001D138D"/>
    <w:rsid w:val="001D155F"/>
    <w:rsid w:val="001D1ED9"/>
    <w:rsid w:val="001D252E"/>
    <w:rsid w:val="001D2825"/>
    <w:rsid w:val="001D2A2B"/>
    <w:rsid w:val="001D320B"/>
    <w:rsid w:val="001D3507"/>
    <w:rsid w:val="001D363E"/>
    <w:rsid w:val="001D3CC4"/>
    <w:rsid w:val="001D45B4"/>
    <w:rsid w:val="001D4BC5"/>
    <w:rsid w:val="001D4C80"/>
    <w:rsid w:val="001D4FA9"/>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26C7"/>
    <w:rsid w:val="001E2763"/>
    <w:rsid w:val="001E27FE"/>
    <w:rsid w:val="001E2A75"/>
    <w:rsid w:val="001E2B65"/>
    <w:rsid w:val="001E2C04"/>
    <w:rsid w:val="001E2D46"/>
    <w:rsid w:val="001E2F8C"/>
    <w:rsid w:val="001E320A"/>
    <w:rsid w:val="001E3ADE"/>
    <w:rsid w:val="001E3B2D"/>
    <w:rsid w:val="001E3C84"/>
    <w:rsid w:val="001E3DBE"/>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8D7"/>
    <w:rsid w:val="001E6C1E"/>
    <w:rsid w:val="001E6E2B"/>
    <w:rsid w:val="001E6F0D"/>
    <w:rsid w:val="001E6F38"/>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2E9F"/>
    <w:rsid w:val="001F339F"/>
    <w:rsid w:val="001F3572"/>
    <w:rsid w:val="001F380D"/>
    <w:rsid w:val="001F3C10"/>
    <w:rsid w:val="001F3FCA"/>
    <w:rsid w:val="001F47EF"/>
    <w:rsid w:val="001F488D"/>
    <w:rsid w:val="001F4893"/>
    <w:rsid w:val="001F4C7D"/>
    <w:rsid w:val="001F4D40"/>
    <w:rsid w:val="001F503F"/>
    <w:rsid w:val="001F5880"/>
    <w:rsid w:val="001F5BB0"/>
    <w:rsid w:val="001F63ED"/>
    <w:rsid w:val="001F6897"/>
    <w:rsid w:val="001F6DC8"/>
    <w:rsid w:val="001F72BB"/>
    <w:rsid w:val="001F78B4"/>
    <w:rsid w:val="001F7C6D"/>
    <w:rsid w:val="001F7E03"/>
    <w:rsid w:val="00200791"/>
    <w:rsid w:val="002007D9"/>
    <w:rsid w:val="002007F1"/>
    <w:rsid w:val="00200C9E"/>
    <w:rsid w:val="00200E62"/>
    <w:rsid w:val="002015CD"/>
    <w:rsid w:val="00201765"/>
    <w:rsid w:val="00201882"/>
    <w:rsid w:val="00201D35"/>
    <w:rsid w:val="00201F0D"/>
    <w:rsid w:val="0020210B"/>
    <w:rsid w:val="002023CD"/>
    <w:rsid w:val="00202534"/>
    <w:rsid w:val="00202568"/>
    <w:rsid w:val="00202850"/>
    <w:rsid w:val="0020295E"/>
    <w:rsid w:val="00203036"/>
    <w:rsid w:val="002032C0"/>
    <w:rsid w:val="002035C7"/>
    <w:rsid w:val="002036D9"/>
    <w:rsid w:val="00203703"/>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6FF6"/>
    <w:rsid w:val="00207136"/>
    <w:rsid w:val="002071BF"/>
    <w:rsid w:val="0020769D"/>
    <w:rsid w:val="002077D6"/>
    <w:rsid w:val="0020796B"/>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8C3"/>
    <w:rsid w:val="00215C7C"/>
    <w:rsid w:val="00215FC7"/>
    <w:rsid w:val="00216096"/>
    <w:rsid w:val="002161CA"/>
    <w:rsid w:val="00216232"/>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E0E"/>
    <w:rsid w:val="00221F3B"/>
    <w:rsid w:val="00222178"/>
    <w:rsid w:val="00222488"/>
    <w:rsid w:val="00222AEC"/>
    <w:rsid w:val="00222B25"/>
    <w:rsid w:val="00222F65"/>
    <w:rsid w:val="002230CF"/>
    <w:rsid w:val="002233AF"/>
    <w:rsid w:val="002238CC"/>
    <w:rsid w:val="00223D50"/>
    <w:rsid w:val="00224065"/>
    <w:rsid w:val="002242E8"/>
    <w:rsid w:val="002243D9"/>
    <w:rsid w:val="002248B1"/>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4A"/>
    <w:rsid w:val="0023129F"/>
    <w:rsid w:val="00231CD2"/>
    <w:rsid w:val="00231E3A"/>
    <w:rsid w:val="0023222B"/>
    <w:rsid w:val="002322EE"/>
    <w:rsid w:val="0023247D"/>
    <w:rsid w:val="002327CF"/>
    <w:rsid w:val="002328D3"/>
    <w:rsid w:val="00232A22"/>
    <w:rsid w:val="0023328B"/>
    <w:rsid w:val="00233436"/>
    <w:rsid w:val="00233684"/>
    <w:rsid w:val="0023401E"/>
    <w:rsid w:val="002342DD"/>
    <w:rsid w:val="0023437B"/>
    <w:rsid w:val="002343E6"/>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31"/>
    <w:rsid w:val="00240150"/>
    <w:rsid w:val="00240285"/>
    <w:rsid w:val="002403AB"/>
    <w:rsid w:val="0024073B"/>
    <w:rsid w:val="00240D1A"/>
    <w:rsid w:val="00240D1B"/>
    <w:rsid w:val="00240E43"/>
    <w:rsid w:val="00240E56"/>
    <w:rsid w:val="00240F9D"/>
    <w:rsid w:val="00240FC4"/>
    <w:rsid w:val="002412BF"/>
    <w:rsid w:val="00241615"/>
    <w:rsid w:val="00241868"/>
    <w:rsid w:val="00241C61"/>
    <w:rsid w:val="00241EA1"/>
    <w:rsid w:val="002421B4"/>
    <w:rsid w:val="002427BF"/>
    <w:rsid w:val="00242F29"/>
    <w:rsid w:val="00242F43"/>
    <w:rsid w:val="00243CF1"/>
    <w:rsid w:val="00243F28"/>
    <w:rsid w:val="00243F52"/>
    <w:rsid w:val="00243F64"/>
    <w:rsid w:val="00244151"/>
    <w:rsid w:val="00244A81"/>
    <w:rsid w:val="00244DD6"/>
    <w:rsid w:val="00244F9C"/>
    <w:rsid w:val="002457C9"/>
    <w:rsid w:val="00245CEC"/>
    <w:rsid w:val="00245F1A"/>
    <w:rsid w:val="00245FD2"/>
    <w:rsid w:val="00246621"/>
    <w:rsid w:val="00246724"/>
    <w:rsid w:val="00246A67"/>
    <w:rsid w:val="00246A7F"/>
    <w:rsid w:val="00246B47"/>
    <w:rsid w:val="00246EE6"/>
    <w:rsid w:val="0024711B"/>
    <w:rsid w:val="00247C8F"/>
    <w:rsid w:val="00247D12"/>
    <w:rsid w:val="00247E78"/>
    <w:rsid w:val="00250052"/>
    <w:rsid w:val="002502EF"/>
    <w:rsid w:val="002503F2"/>
    <w:rsid w:val="002506CB"/>
    <w:rsid w:val="00250A1E"/>
    <w:rsid w:val="00250B7F"/>
    <w:rsid w:val="00250F66"/>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D1E"/>
    <w:rsid w:val="00254E33"/>
    <w:rsid w:val="002552C6"/>
    <w:rsid w:val="00255D92"/>
    <w:rsid w:val="00255FEF"/>
    <w:rsid w:val="00256418"/>
    <w:rsid w:val="00256B58"/>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46"/>
    <w:rsid w:val="00262380"/>
    <w:rsid w:val="002624D4"/>
    <w:rsid w:val="002625DD"/>
    <w:rsid w:val="002628D7"/>
    <w:rsid w:val="00263019"/>
    <w:rsid w:val="00263209"/>
    <w:rsid w:val="0026326C"/>
    <w:rsid w:val="00263ABD"/>
    <w:rsid w:val="00263CEB"/>
    <w:rsid w:val="0026455E"/>
    <w:rsid w:val="002648B0"/>
    <w:rsid w:val="00264B61"/>
    <w:rsid w:val="002656E2"/>
    <w:rsid w:val="002657A2"/>
    <w:rsid w:val="00265D32"/>
    <w:rsid w:val="00265D91"/>
    <w:rsid w:val="00266088"/>
    <w:rsid w:val="002663E5"/>
    <w:rsid w:val="00266448"/>
    <w:rsid w:val="002664A8"/>
    <w:rsid w:val="0026661C"/>
    <w:rsid w:val="002666D6"/>
    <w:rsid w:val="0026685D"/>
    <w:rsid w:val="00266E6B"/>
    <w:rsid w:val="00267592"/>
    <w:rsid w:val="00267DBA"/>
    <w:rsid w:val="002701A0"/>
    <w:rsid w:val="0027021F"/>
    <w:rsid w:val="00270396"/>
    <w:rsid w:val="002706BE"/>
    <w:rsid w:val="00270EDE"/>
    <w:rsid w:val="00271090"/>
    <w:rsid w:val="00271179"/>
    <w:rsid w:val="002711AF"/>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579"/>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B0"/>
    <w:rsid w:val="00280BEA"/>
    <w:rsid w:val="00280C3C"/>
    <w:rsid w:val="00280CAC"/>
    <w:rsid w:val="00280D68"/>
    <w:rsid w:val="00280E0D"/>
    <w:rsid w:val="00281228"/>
    <w:rsid w:val="00281945"/>
    <w:rsid w:val="00281DE0"/>
    <w:rsid w:val="00281F30"/>
    <w:rsid w:val="00281FAD"/>
    <w:rsid w:val="00282099"/>
    <w:rsid w:val="00282534"/>
    <w:rsid w:val="00282907"/>
    <w:rsid w:val="00282D15"/>
    <w:rsid w:val="002830CB"/>
    <w:rsid w:val="00283777"/>
    <w:rsid w:val="00283BCA"/>
    <w:rsid w:val="00283D10"/>
    <w:rsid w:val="00283D4A"/>
    <w:rsid w:val="00283F34"/>
    <w:rsid w:val="00284134"/>
    <w:rsid w:val="00284867"/>
    <w:rsid w:val="00284950"/>
    <w:rsid w:val="00284BCE"/>
    <w:rsid w:val="00284D1E"/>
    <w:rsid w:val="00285282"/>
    <w:rsid w:val="00285284"/>
    <w:rsid w:val="00285510"/>
    <w:rsid w:val="00285A97"/>
    <w:rsid w:val="00285FB5"/>
    <w:rsid w:val="002861A0"/>
    <w:rsid w:val="0028661E"/>
    <w:rsid w:val="002866A3"/>
    <w:rsid w:val="00286779"/>
    <w:rsid w:val="00286806"/>
    <w:rsid w:val="00286D6B"/>
    <w:rsid w:val="00287025"/>
    <w:rsid w:val="00287069"/>
    <w:rsid w:val="002870F2"/>
    <w:rsid w:val="002871E0"/>
    <w:rsid w:val="00287374"/>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597"/>
    <w:rsid w:val="00295B81"/>
    <w:rsid w:val="0029605A"/>
    <w:rsid w:val="00296077"/>
    <w:rsid w:val="0029622D"/>
    <w:rsid w:val="002964FF"/>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2CE8"/>
    <w:rsid w:val="002A339C"/>
    <w:rsid w:val="002A3702"/>
    <w:rsid w:val="002A3793"/>
    <w:rsid w:val="002A3857"/>
    <w:rsid w:val="002A39F2"/>
    <w:rsid w:val="002A3ABA"/>
    <w:rsid w:val="002A44E2"/>
    <w:rsid w:val="002A45D8"/>
    <w:rsid w:val="002A4B57"/>
    <w:rsid w:val="002A4CC5"/>
    <w:rsid w:val="002A5032"/>
    <w:rsid w:val="002A5079"/>
    <w:rsid w:val="002A5263"/>
    <w:rsid w:val="002A57FA"/>
    <w:rsid w:val="002A5B4E"/>
    <w:rsid w:val="002A6265"/>
    <w:rsid w:val="002A6894"/>
    <w:rsid w:val="002A6B25"/>
    <w:rsid w:val="002A6D2B"/>
    <w:rsid w:val="002A798B"/>
    <w:rsid w:val="002A79B0"/>
    <w:rsid w:val="002A7A8C"/>
    <w:rsid w:val="002B0238"/>
    <w:rsid w:val="002B044E"/>
    <w:rsid w:val="002B0515"/>
    <w:rsid w:val="002B07AC"/>
    <w:rsid w:val="002B07FC"/>
    <w:rsid w:val="002B0DA7"/>
    <w:rsid w:val="002B10F5"/>
    <w:rsid w:val="002B1316"/>
    <w:rsid w:val="002B1B76"/>
    <w:rsid w:val="002B22D7"/>
    <w:rsid w:val="002B2F28"/>
    <w:rsid w:val="002B32AE"/>
    <w:rsid w:val="002B370D"/>
    <w:rsid w:val="002B3BC2"/>
    <w:rsid w:val="002B40B9"/>
    <w:rsid w:val="002B4488"/>
    <w:rsid w:val="002B4AC8"/>
    <w:rsid w:val="002B4D65"/>
    <w:rsid w:val="002B5488"/>
    <w:rsid w:val="002B55B1"/>
    <w:rsid w:val="002B5965"/>
    <w:rsid w:val="002B5BD6"/>
    <w:rsid w:val="002B605A"/>
    <w:rsid w:val="002B6928"/>
    <w:rsid w:val="002B6ABB"/>
    <w:rsid w:val="002B6B19"/>
    <w:rsid w:val="002B7006"/>
    <w:rsid w:val="002B70B1"/>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250"/>
    <w:rsid w:val="002C42BD"/>
    <w:rsid w:val="002C43A3"/>
    <w:rsid w:val="002C4455"/>
    <w:rsid w:val="002C47AA"/>
    <w:rsid w:val="002C48A2"/>
    <w:rsid w:val="002C5831"/>
    <w:rsid w:val="002C5901"/>
    <w:rsid w:val="002C5BBA"/>
    <w:rsid w:val="002C5D62"/>
    <w:rsid w:val="002C5DD5"/>
    <w:rsid w:val="002C60D0"/>
    <w:rsid w:val="002C6318"/>
    <w:rsid w:val="002C63FD"/>
    <w:rsid w:val="002C6675"/>
    <w:rsid w:val="002C6ECE"/>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8F8"/>
    <w:rsid w:val="002D4B6E"/>
    <w:rsid w:val="002D4C07"/>
    <w:rsid w:val="002D4D31"/>
    <w:rsid w:val="002D4DEC"/>
    <w:rsid w:val="002D4EC7"/>
    <w:rsid w:val="002D4EF8"/>
    <w:rsid w:val="002D5195"/>
    <w:rsid w:val="002D5324"/>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6CA"/>
    <w:rsid w:val="002E17A2"/>
    <w:rsid w:val="002E1B11"/>
    <w:rsid w:val="002E1C83"/>
    <w:rsid w:val="002E1E3C"/>
    <w:rsid w:val="002E1E7F"/>
    <w:rsid w:val="002E218C"/>
    <w:rsid w:val="002E263C"/>
    <w:rsid w:val="002E2967"/>
    <w:rsid w:val="002E31F2"/>
    <w:rsid w:val="002E32BA"/>
    <w:rsid w:val="002E36AC"/>
    <w:rsid w:val="002E3E30"/>
    <w:rsid w:val="002E4120"/>
    <w:rsid w:val="002E464C"/>
    <w:rsid w:val="002E4AB7"/>
    <w:rsid w:val="002E4CBF"/>
    <w:rsid w:val="002E4D1F"/>
    <w:rsid w:val="002E508A"/>
    <w:rsid w:val="002E5175"/>
    <w:rsid w:val="002E56EC"/>
    <w:rsid w:val="002E5874"/>
    <w:rsid w:val="002E5A80"/>
    <w:rsid w:val="002E5B75"/>
    <w:rsid w:val="002E5BCC"/>
    <w:rsid w:val="002E5DDA"/>
    <w:rsid w:val="002E5DE9"/>
    <w:rsid w:val="002E5EB7"/>
    <w:rsid w:val="002E5F2A"/>
    <w:rsid w:val="002E61E9"/>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CD6"/>
    <w:rsid w:val="002F1DC3"/>
    <w:rsid w:val="002F214C"/>
    <w:rsid w:val="002F22CC"/>
    <w:rsid w:val="002F24CB"/>
    <w:rsid w:val="002F283B"/>
    <w:rsid w:val="002F2D21"/>
    <w:rsid w:val="002F2ED5"/>
    <w:rsid w:val="002F3228"/>
    <w:rsid w:val="002F326E"/>
    <w:rsid w:val="002F32FB"/>
    <w:rsid w:val="002F346E"/>
    <w:rsid w:val="002F3A8B"/>
    <w:rsid w:val="002F3E34"/>
    <w:rsid w:val="002F432E"/>
    <w:rsid w:val="002F4476"/>
    <w:rsid w:val="002F44A5"/>
    <w:rsid w:val="002F4645"/>
    <w:rsid w:val="002F48D6"/>
    <w:rsid w:val="002F4BCE"/>
    <w:rsid w:val="002F4C35"/>
    <w:rsid w:val="002F4C5D"/>
    <w:rsid w:val="002F4CC1"/>
    <w:rsid w:val="002F509F"/>
    <w:rsid w:val="002F524E"/>
    <w:rsid w:val="002F5473"/>
    <w:rsid w:val="002F5589"/>
    <w:rsid w:val="002F5C98"/>
    <w:rsid w:val="002F5E02"/>
    <w:rsid w:val="002F5E47"/>
    <w:rsid w:val="002F5FED"/>
    <w:rsid w:val="002F603A"/>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A3C"/>
    <w:rsid w:val="00303C80"/>
    <w:rsid w:val="00303FA6"/>
    <w:rsid w:val="003048F3"/>
    <w:rsid w:val="00304D2C"/>
    <w:rsid w:val="00304E2C"/>
    <w:rsid w:val="0030528D"/>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3B9"/>
    <w:rsid w:val="003137DA"/>
    <w:rsid w:val="00313C40"/>
    <w:rsid w:val="00313D42"/>
    <w:rsid w:val="00314056"/>
    <w:rsid w:val="00314163"/>
    <w:rsid w:val="00314513"/>
    <w:rsid w:val="00314888"/>
    <w:rsid w:val="0031503B"/>
    <w:rsid w:val="00315119"/>
    <w:rsid w:val="00315205"/>
    <w:rsid w:val="003154CD"/>
    <w:rsid w:val="00315588"/>
    <w:rsid w:val="00315750"/>
    <w:rsid w:val="00315D43"/>
    <w:rsid w:val="00315EB0"/>
    <w:rsid w:val="00315F9D"/>
    <w:rsid w:val="00316082"/>
    <w:rsid w:val="003160A2"/>
    <w:rsid w:val="00316464"/>
    <w:rsid w:val="003164E5"/>
    <w:rsid w:val="0031657D"/>
    <w:rsid w:val="00316AC6"/>
    <w:rsid w:val="00316C32"/>
    <w:rsid w:val="00316C8C"/>
    <w:rsid w:val="003177EF"/>
    <w:rsid w:val="003178FD"/>
    <w:rsid w:val="00317AF2"/>
    <w:rsid w:val="00317C34"/>
    <w:rsid w:val="00317DEF"/>
    <w:rsid w:val="00317FA5"/>
    <w:rsid w:val="003209F9"/>
    <w:rsid w:val="00320A45"/>
    <w:rsid w:val="00320CAE"/>
    <w:rsid w:val="00320DEB"/>
    <w:rsid w:val="00320FDE"/>
    <w:rsid w:val="003214E5"/>
    <w:rsid w:val="00321A15"/>
    <w:rsid w:val="00321F11"/>
    <w:rsid w:val="003220D6"/>
    <w:rsid w:val="003225D3"/>
    <w:rsid w:val="0032264F"/>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4894"/>
    <w:rsid w:val="00325503"/>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F36"/>
    <w:rsid w:val="00331414"/>
    <w:rsid w:val="003316B7"/>
    <w:rsid w:val="00331B55"/>
    <w:rsid w:val="003324D7"/>
    <w:rsid w:val="00332834"/>
    <w:rsid w:val="0033283A"/>
    <w:rsid w:val="00332D4F"/>
    <w:rsid w:val="00332DB3"/>
    <w:rsid w:val="0033414E"/>
    <w:rsid w:val="00334162"/>
    <w:rsid w:val="0033457F"/>
    <w:rsid w:val="00334D37"/>
    <w:rsid w:val="003350C5"/>
    <w:rsid w:val="00335983"/>
    <w:rsid w:val="003359D0"/>
    <w:rsid w:val="00335C1A"/>
    <w:rsid w:val="00335C31"/>
    <w:rsid w:val="00335C34"/>
    <w:rsid w:val="00335D07"/>
    <w:rsid w:val="00335D9C"/>
    <w:rsid w:val="00335DEB"/>
    <w:rsid w:val="00335FD9"/>
    <w:rsid w:val="003360A9"/>
    <w:rsid w:val="00336139"/>
    <w:rsid w:val="00336200"/>
    <w:rsid w:val="003364B0"/>
    <w:rsid w:val="00336758"/>
    <w:rsid w:val="00336958"/>
    <w:rsid w:val="00336A20"/>
    <w:rsid w:val="00336B02"/>
    <w:rsid w:val="00336DF9"/>
    <w:rsid w:val="00337385"/>
    <w:rsid w:val="0033752C"/>
    <w:rsid w:val="00337566"/>
    <w:rsid w:val="0033790D"/>
    <w:rsid w:val="003401FD"/>
    <w:rsid w:val="0034028C"/>
    <w:rsid w:val="00340891"/>
    <w:rsid w:val="003409F7"/>
    <w:rsid w:val="00340A16"/>
    <w:rsid w:val="00340AFD"/>
    <w:rsid w:val="00341265"/>
    <w:rsid w:val="00341547"/>
    <w:rsid w:val="00341568"/>
    <w:rsid w:val="00341685"/>
    <w:rsid w:val="003417BB"/>
    <w:rsid w:val="003417BC"/>
    <w:rsid w:val="00342200"/>
    <w:rsid w:val="00342567"/>
    <w:rsid w:val="0034291E"/>
    <w:rsid w:val="00342C19"/>
    <w:rsid w:val="00342C46"/>
    <w:rsid w:val="003431DB"/>
    <w:rsid w:val="00343224"/>
    <w:rsid w:val="00343301"/>
    <w:rsid w:val="0034335B"/>
    <w:rsid w:val="003433E9"/>
    <w:rsid w:val="00343531"/>
    <w:rsid w:val="003435C8"/>
    <w:rsid w:val="0034360B"/>
    <w:rsid w:val="0034392B"/>
    <w:rsid w:val="00343AFF"/>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12E"/>
    <w:rsid w:val="003524AB"/>
    <w:rsid w:val="0035267E"/>
    <w:rsid w:val="00352C3E"/>
    <w:rsid w:val="00353048"/>
    <w:rsid w:val="003533B6"/>
    <w:rsid w:val="0035347E"/>
    <w:rsid w:val="00353623"/>
    <w:rsid w:val="0035372B"/>
    <w:rsid w:val="003538E6"/>
    <w:rsid w:val="0035413C"/>
    <w:rsid w:val="003543CC"/>
    <w:rsid w:val="003544BD"/>
    <w:rsid w:val="00355836"/>
    <w:rsid w:val="00355BC7"/>
    <w:rsid w:val="00355EDA"/>
    <w:rsid w:val="0035751F"/>
    <w:rsid w:val="00357746"/>
    <w:rsid w:val="00357B66"/>
    <w:rsid w:val="003600E6"/>
    <w:rsid w:val="00360649"/>
    <w:rsid w:val="00360E25"/>
    <w:rsid w:val="00360F55"/>
    <w:rsid w:val="003611D5"/>
    <w:rsid w:val="003614B1"/>
    <w:rsid w:val="00361C59"/>
    <w:rsid w:val="00361C7E"/>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875"/>
    <w:rsid w:val="00365E5F"/>
    <w:rsid w:val="00365EF2"/>
    <w:rsid w:val="00365F31"/>
    <w:rsid w:val="00366022"/>
    <w:rsid w:val="0036698E"/>
    <w:rsid w:val="00366A39"/>
    <w:rsid w:val="00366A97"/>
    <w:rsid w:val="00366FFB"/>
    <w:rsid w:val="003671B4"/>
    <w:rsid w:val="00367428"/>
    <w:rsid w:val="00367E11"/>
    <w:rsid w:val="00370009"/>
    <w:rsid w:val="00370C40"/>
    <w:rsid w:val="00370D82"/>
    <w:rsid w:val="0037140F"/>
    <w:rsid w:val="00371560"/>
    <w:rsid w:val="00371704"/>
    <w:rsid w:val="00371B8F"/>
    <w:rsid w:val="00371F12"/>
    <w:rsid w:val="003727D1"/>
    <w:rsid w:val="00372BF3"/>
    <w:rsid w:val="00372FBE"/>
    <w:rsid w:val="003731FE"/>
    <w:rsid w:val="003735F6"/>
    <w:rsid w:val="0037372A"/>
    <w:rsid w:val="0037397C"/>
    <w:rsid w:val="00373EE7"/>
    <w:rsid w:val="00373EFB"/>
    <w:rsid w:val="0037540A"/>
    <w:rsid w:val="00375F0A"/>
    <w:rsid w:val="00376342"/>
    <w:rsid w:val="003763B9"/>
    <w:rsid w:val="00376641"/>
    <w:rsid w:val="003767FE"/>
    <w:rsid w:val="00376AD4"/>
    <w:rsid w:val="00376AFC"/>
    <w:rsid w:val="0037711F"/>
    <w:rsid w:val="003771A5"/>
    <w:rsid w:val="00377578"/>
    <w:rsid w:val="00377CD0"/>
    <w:rsid w:val="00377CDF"/>
    <w:rsid w:val="003800D1"/>
    <w:rsid w:val="003802EF"/>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E1C"/>
    <w:rsid w:val="00384CF4"/>
    <w:rsid w:val="00384CFE"/>
    <w:rsid w:val="00384F95"/>
    <w:rsid w:val="003853FA"/>
    <w:rsid w:val="00385F67"/>
    <w:rsid w:val="003860D2"/>
    <w:rsid w:val="003862AA"/>
    <w:rsid w:val="00386944"/>
    <w:rsid w:val="00386AC7"/>
    <w:rsid w:val="00386C50"/>
    <w:rsid w:val="00386D04"/>
    <w:rsid w:val="00386D1C"/>
    <w:rsid w:val="00386F02"/>
    <w:rsid w:val="003870EF"/>
    <w:rsid w:val="003871B2"/>
    <w:rsid w:val="0038772F"/>
    <w:rsid w:val="003877CD"/>
    <w:rsid w:val="00390415"/>
    <w:rsid w:val="003905B2"/>
    <w:rsid w:val="003906A2"/>
    <w:rsid w:val="003909DF"/>
    <w:rsid w:val="00390B19"/>
    <w:rsid w:val="00390C9F"/>
    <w:rsid w:val="003912EF"/>
    <w:rsid w:val="003913C0"/>
    <w:rsid w:val="00391450"/>
    <w:rsid w:val="003915C9"/>
    <w:rsid w:val="003916AD"/>
    <w:rsid w:val="003919B8"/>
    <w:rsid w:val="00391A19"/>
    <w:rsid w:val="00391D58"/>
    <w:rsid w:val="00392313"/>
    <w:rsid w:val="00392C26"/>
    <w:rsid w:val="00392CF5"/>
    <w:rsid w:val="00393348"/>
    <w:rsid w:val="00393435"/>
    <w:rsid w:val="003934C5"/>
    <w:rsid w:val="00393504"/>
    <w:rsid w:val="00393815"/>
    <w:rsid w:val="00393AA7"/>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5F13"/>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708"/>
    <w:rsid w:val="003A19F3"/>
    <w:rsid w:val="003A1BD2"/>
    <w:rsid w:val="003A1C22"/>
    <w:rsid w:val="003A1D4D"/>
    <w:rsid w:val="003A1DA5"/>
    <w:rsid w:val="003A29D2"/>
    <w:rsid w:val="003A2B9E"/>
    <w:rsid w:val="003A2DF1"/>
    <w:rsid w:val="003A375E"/>
    <w:rsid w:val="003A38E9"/>
    <w:rsid w:val="003A392D"/>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5DD3"/>
    <w:rsid w:val="003A60A8"/>
    <w:rsid w:val="003A6131"/>
    <w:rsid w:val="003A63EA"/>
    <w:rsid w:val="003A64D1"/>
    <w:rsid w:val="003A6B34"/>
    <w:rsid w:val="003A6C06"/>
    <w:rsid w:val="003A6E21"/>
    <w:rsid w:val="003A716B"/>
    <w:rsid w:val="003A7426"/>
    <w:rsid w:val="003A75B7"/>
    <w:rsid w:val="003A75D8"/>
    <w:rsid w:val="003A787B"/>
    <w:rsid w:val="003A7D72"/>
    <w:rsid w:val="003A7EBD"/>
    <w:rsid w:val="003A7F52"/>
    <w:rsid w:val="003B0045"/>
    <w:rsid w:val="003B04F1"/>
    <w:rsid w:val="003B0679"/>
    <w:rsid w:val="003B07BD"/>
    <w:rsid w:val="003B0852"/>
    <w:rsid w:val="003B094A"/>
    <w:rsid w:val="003B0D1F"/>
    <w:rsid w:val="003B0DA3"/>
    <w:rsid w:val="003B1339"/>
    <w:rsid w:val="003B1813"/>
    <w:rsid w:val="003B1887"/>
    <w:rsid w:val="003B1D53"/>
    <w:rsid w:val="003B20B5"/>
    <w:rsid w:val="003B24D9"/>
    <w:rsid w:val="003B2535"/>
    <w:rsid w:val="003B2A0F"/>
    <w:rsid w:val="003B2F65"/>
    <w:rsid w:val="003B313C"/>
    <w:rsid w:val="003B32C9"/>
    <w:rsid w:val="003B363D"/>
    <w:rsid w:val="003B3977"/>
    <w:rsid w:val="003B3AE4"/>
    <w:rsid w:val="003B3E2A"/>
    <w:rsid w:val="003B4022"/>
    <w:rsid w:val="003B4326"/>
    <w:rsid w:val="003B4D23"/>
    <w:rsid w:val="003B4F01"/>
    <w:rsid w:val="003B511F"/>
    <w:rsid w:val="003B57E2"/>
    <w:rsid w:val="003B5AE2"/>
    <w:rsid w:val="003B5E84"/>
    <w:rsid w:val="003B5F2D"/>
    <w:rsid w:val="003B62CD"/>
    <w:rsid w:val="003B6572"/>
    <w:rsid w:val="003B660E"/>
    <w:rsid w:val="003B680C"/>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6EF"/>
    <w:rsid w:val="003C3908"/>
    <w:rsid w:val="003C39CD"/>
    <w:rsid w:val="003C3D71"/>
    <w:rsid w:val="003C3F11"/>
    <w:rsid w:val="003C4708"/>
    <w:rsid w:val="003C5004"/>
    <w:rsid w:val="003C5158"/>
    <w:rsid w:val="003C5336"/>
    <w:rsid w:val="003C5670"/>
    <w:rsid w:val="003C570C"/>
    <w:rsid w:val="003C5913"/>
    <w:rsid w:val="003C5B1C"/>
    <w:rsid w:val="003C5D09"/>
    <w:rsid w:val="003C5FF5"/>
    <w:rsid w:val="003C624A"/>
    <w:rsid w:val="003C629B"/>
    <w:rsid w:val="003C6D78"/>
    <w:rsid w:val="003C6E28"/>
    <w:rsid w:val="003C6FA5"/>
    <w:rsid w:val="003C6FA9"/>
    <w:rsid w:val="003C706D"/>
    <w:rsid w:val="003C70FA"/>
    <w:rsid w:val="003C7B58"/>
    <w:rsid w:val="003C7D04"/>
    <w:rsid w:val="003C7ED7"/>
    <w:rsid w:val="003C7FAD"/>
    <w:rsid w:val="003D0060"/>
    <w:rsid w:val="003D0099"/>
    <w:rsid w:val="003D01FD"/>
    <w:rsid w:val="003D0362"/>
    <w:rsid w:val="003D049C"/>
    <w:rsid w:val="003D0A0C"/>
    <w:rsid w:val="003D0BCB"/>
    <w:rsid w:val="003D0E6A"/>
    <w:rsid w:val="003D17E0"/>
    <w:rsid w:val="003D19DD"/>
    <w:rsid w:val="003D19EF"/>
    <w:rsid w:val="003D1AC5"/>
    <w:rsid w:val="003D2438"/>
    <w:rsid w:val="003D2592"/>
    <w:rsid w:val="003D2926"/>
    <w:rsid w:val="003D3672"/>
    <w:rsid w:val="003D3B4F"/>
    <w:rsid w:val="003D3DFF"/>
    <w:rsid w:val="003D4413"/>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98F"/>
    <w:rsid w:val="003E1BCD"/>
    <w:rsid w:val="003E242B"/>
    <w:rsid w:val="003E2551"/>
    <w:rsid w:val="003E28BF"/>
    <w:rsid w:val="003E2B46"/>
    <w:rsid w:val="003E2C6F"/>
    <w:rsid w:val="003E2CCC"/>
    <w:rsid w:val="003E2FAC"/>
    <w:rsid w:val="003E304E"/>
    <w:rsid w:val="003E334A"/>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7001"/>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11"/>
    <w:rsid w:val="003F5A2F"/>
    <w:rsid w:val="003F5B55"/>
    <w:rsid w:val="003F61AC"/>
    <w:rsid w:val="003F6C92"/>
    <w:rsid w:val="003F6CB2"/>
    <w:rsid w:val="003F6E7F"/>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381F"/>
    <w:rsid w:val="004043E6"/>
    <w:rsid w:val="004043F6"/>
    <w:rsid w:val="00404D63"/>
    <w:rsid w:val="004050FE"/>
    <w:rsid w:val="00405E3B"/>
    <w:rsid w:val="00406311"/>
    <w:rsid w:val="00406A66"/>
    <w:rsid w:val="00406BD6"/>
    <w:rsid w:val="00406C3B"/>
    <w:rsid w:val="00406C82"/>
    <w:rsid w:val="004071B4"/>
    <w:rsid w:val="0040734D"/>
    <w:rsid w:val="004074AB"/>
    <w:rsid w:val="00407503"/>
    <w:rsid w:val="00407B38"/>
    <w:rsid w:val="00407BB8"/>
    <w:rsid w:val="00407CF5"/>
    <w:rsid w:val="00407D84"/>
    <w:rsid w:val="00407F26"/>
    <w:rsid w:val="00407F30"/>
    <w:rsid w:val="00410116"/>
    <w:rsid w:val="004104D3"/>
    <w:rsid w:val="0041126A"/>
    <w:rsid w:val="00411427"/>
    <w:rsid w:val="0041169F"/>
    <w:rsid w:val="004118ED"/>
    <w:rsid w:val="00411A42"/>
    <w:rsid w:val="00411CAD"/>
    <w:rsid w:val="00412123"/>
    <w:rsid w:val="00412213"/>
    <w:rsid w:val="0041251B"/>
    <w:rsid w:val="0041264E"/>
    <w:rsid w:val="0041294C"/>
    <w:rsid w:val="00412A5D"/>
    <w:rsid w:val="00412FCB"/>
    <w:rsid w:val="00413096"/>
    <w:rsid w:val="004131B5"/>
    <w:rsid w:val="00413383"/>
    <w:rsid w:val="0041344F"/>
    <w:rsid w:val="00413457"/>
    <w:rsid w:val="00413655"/>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EAF"/>
    <w:rsid w:val="00414F67"/>
    <w:rsid w:val="00415296"/>
    <w:rsid w:val="004154C1"/>
    <w:rsid w:val="00415DAE"/>
    <w:rsid w:val="00415F12"/>
    <w:rsid w:val="004161C9"/>
    <w:rsid w:val="0041673E"/>
    <w:rsid w:val="004168C7"/>
    <w:rsid w:val="004168FE"/>
    <w:rsid w:val="00416A98"/>
    <w:rsid w:val="00416BCF"/>
    <w:rsid w:val="0041783F"/>
    <w:rsid w:val="00417FBC"/>
    <w:rsid w:val="004200CF"/>
    <w:rsid w:val="004203AC"/>
    <w:rsid w:val="0042068F"/>
    <w:rsid w:val="0042075B"/>
    <w:rsid w:val="004209B9"/>
    <w:rsid w:val="00420BAA"/>
    <w:rsid w:val="00420C09"/>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591"/>
    <w:rsid w:val="00426B25"/>
    <w:rsid w:val="00426BEB"/>
    <w:rsid w:val="00426D6C"/>
    <w:rsid w:val="00427355"/>
    <w:rsid w:val="0042745D"/>
    <w:rsid w:val="00427828"/>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2B0"/>
    <w:rsid w:val="00433E00"/>
    <w:rsid w:val="004343D1"/>
    <w:rsid w:val="004343DA"/>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CE5"/>
    <w:rsid w:val="00437CFE"/>
    <w:rsid w:val="00437DD4"/>
    <w:rsid w:val="00437E03"/>
    <w:rsid w:val="00437F16"/>
    <w:rsid w:val="004403EB"/>
    <w:rsid w:val="00440859"/>
    <w:rsid w:val="00440880"/>
    <w:rsid w:val="00440941"/>
    <w:rsid w:val="00440A93"/>
    <w:rsid w:val="00440C40"/>
    <w:rsid w:val="00440CEA"/>
    <w:rsid w:val="00440EFF"/>
    <w:rsid w:val="004410CA"/>
    <w:rsid w:val="004413F4"/>
    <w:rsid w:val="004418F2"/>
    <w:rsid w:val="0044199C"/>
    <w:rsid w:val="00441D12"/>
    <w:rsid w:val="00441D83"/>
    <w:rsid w:val="00442400"/>
    <w:rsid w:val="0044271D"/>
    <w:rsid w:val="00442C2B"/>
    <w:rsid w:val="00443177"/>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6CC4"/>
    <w:rsid w:val="004476DC"/>
    <w:rsid w:val="00447826"/>
    <w:rsid w:val="00447F82"/>
    <w:rsid w:val="00450175"/>
    <w:rsid w:val="0045056E"/>
    <w:rsid w:val="004507BE"/>
    <w:rsid w:val="004507DD"/>
    <w:rsid w:val="00450AED"/>
    <w:rsid w:val="00450B54"/>
    <w:rsid w:val="00450EB0"/>
    <w:rsid w:val="004513EA"/>
    <w:rsid w:val="00451493"/>
    <w:rsid w:val="0045149D"/>
    <w:rsid w:val="00451623"/>
    <w:rsid w:val="0045165D"/>
    <w:rsid w:val="004517C8"/>
    <w:rsid w:val="004517D4"/>
    <w:rsid w:val="00452261"/>
    <w:rsid w:val="004522B2"/>
    <w:rsid w:val="0045235D"/>
    <w:rsid w:val="00452567"/>
    <w:rsid w:val="00452ABF"/>
    <w:rsid w:val="0045331B"/>
    <w:rsid w:val="0045390E"/>
    <w:rsid w:val="00453935"/>
    <w:rsid w:val="00453C54"/>
    <w:rsid w:val="0045474F"/>
    <w:rsid w:val="004547B0"/>
    <w:rsid w:val="00454937"/>
    <w:rsid w:val="00454949"/>
    <w:rsid w:val="00454A6C"/>
    <w:rsid w:val="0045509B"/>
    <w:rsid w:val="0045545C"/>
    <w:rsid w:val="00455793"/>
    <w:rsid w:val="004558B4"/>
    <w:rsid w:val="00455E86"/>
    <w:rsid w:val="0045604C"/>
    <w:rsid w:val="00456466"/>
    <w:rsid w:val="00456837"/>
    <w:rsid w:val="004569A3"/>
    <w:rsid w:val="00456C85"/>
    <w:rsid w:val="00456E53"/>
    <w:rsid w:val="00456F61"/>
    <w:rsid w:val="00457080"/>
    <w:rsid w:val="00457A4F"/>
    <w:rsid w:val="00457B24"/>
    <w:rsid w:val="00457C8B"/>
    <w:rsid w:val="00457F1C"/>
    <w:rsid w:val="004602B6"/>
    <w:rsid w:val="00460423"/>
    <w:rsid w:val="004608A8"/>
    <w:rsid w:val="004608D3"/>
    <w:rsid w:val="00460F0D"/>
    <w:rsid w:val="004611C9"/>
    <w:rsid w:val="004611DF"/>
    <w:rsid w:val="00461607"/>
    <w:rsid w:val="00461668"/>
    <w:rsid w:val="004628E5"/>
    <w:rsid w:val="004630AB"/>
    <w:rsid w:val="00463582"/>
    <w:rsid w:val="004636DE"/>
    <w:rsid w:val="00463972"/>
    <w:rsid w:val="00463A16"/>
    <w:rsid w:val="00463AF1"/>
    <w:rsid w:val="00464274"/>
    <w:rsid w:val="004646C3"/>
    <w:rsid w:val="0046483D"/>
    <w:rsid w:val="00464A10"/>
    <w:rsid w:val="00464B4B"/>
    <w:rsid w:val="00464C7A"/>
    <w:rsid w:val="004656A3"/>
    <w:rsid w:val="00465A22"/>
    <w:rsid w:val="00465E8A"/>
    <w:rsid w:val="004662D8"/>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045"/>
    <w:rsid w:val="0047382B"/>
    <w:rsid w:val="00473B1A"/>
    <w:rsid w:val="00473CFB"/>
    <w:rsid w:val="00473E38"/>
    <w:rsid w:val="00474346"/>
    <w:rsid w:val="004743EB"/>
    <w:rsid w:val="0047451B"/>
    <w:rsid w:val="00474777"/>
    <w:rsid w:val="00474956"/>
    <w:rsid w:val="00474AF3"/>
    <w:rsid w:val="00474D87"/>
    <w:rsid w:val="00474EFC"/>
    <w:rsid w:val="00474F86"/>
    <w:rsid w:val="0047527B"/>
    <w:rsid w:val="00475349"/>
    <w:rsid w:val="00475B73"/>
    <w:rsid w:val="00475C3A"/>
    <w:rsid w:val="00476114"/>
    <w:rsid w:val="0047631E"/>
    <w:rsid w:val="00476950"/>
    <w:rsid w:val="00477091"/>
    <w:rsid w:val="004771D3"/>
    <w:rsid w:val="004776D9"/>
    <w:rsid w:val="004778A2"/>
    <w:rsid w:val="004779CD"/>
    <w:rsid w:val="00477AFB"/>
    <w:rsid w:val="00477BF1"/>
    <w:rsid w:val="00477CD6"/>
    <w:rsid w:val="0048028B"/>
    <w:rsid w:val="004805AD"/>
    <w:rsid w:val="00480BFA"/>
    <w:rsid w:val="0048152B"/>
    <w:rsid w:val="00481540"/>
    <w:rsid w:val="0048183C"/>
    <w:rsid w:val="00481885"/>
    <w:rsid w:val="00481912"/>
    <w:rsid w:val="00481BBD"/>
    <w:rsid w:val="00481BE2"/>
    <w:rsid w:val="00481FF0"/>
    <w:rsid w:val="00482328"/>
    <w:rsid w:val="0048233B"/>
    <w:rsid w:val="004825D8"/>
    <w:rsid w:val="004826D8"/>
    <w:rsid w:val="00482838"/>
    <w:rsid w:val="00482AA0"/>
    <w:rsid w:val="004831C9"/>
    <w:rsid w:val="00483752"/>
    <w:rsid w:val="004837A8"/>
    <w:rsid w:val="00483CBD"/>
    <w:rsid w:val="00483EF5"/>
    <w:rsid w:val="00484197"/>
    <w:rsid w:val="00484F97"/>
    <w:rsid w:val="0048518C"/>
    <w:rsid w:val="0048545C"/>
    <w:rsid w:val="004856A0"/>
    <w:rsid w:val="00485974"/>
    <w:rsid w:val="00485F31"/>
    <w:rsid w:val="0048617C"/>
    <w:rsid w:val="00486192"/>
    <w:rsid w:val="004865E5"/>
    <w:rsid w:val="0048662E"/>
    <w:rsid w:val="004866B4"/>
    <w:rsid w:val="00486923"/>
    <w:rsid w:val="00486FC5"/>
    <w:rsid w:val="00487013"/>
    <w:rsid w:val="004871DF"/>
    <w:rsid w:val="004872B0"/>
    <w:rsid w:val="0048734E"/>
    <w:rsid w:val="00490044"/>
    <w:rsid w:val="004900BE"/>
    <w:rsid w:val="0049030B"/>
    <w:rsid w:val="00490991"/>
    <w:rsid w:val="00490C33"/>
    <w:rsid w:val="00490DB5"/>
    <w:rsid w:val="00490E27"/>
    <w:rsid w:val="00490E64"/>
    <w:rsid w:val="00491267"/>
    <w:rsid w:val="004913E5"/>
    <w:rsid w:val="004915D5"/>
    <w:rsid w:val="00491A32"/>
    <w:rsid w:val="00491ADE"/>
    <w:rsid w:val="00491D73"/>
    <w:rsid w:val="00491DB7"/>
    <w:rsid w:val="0049235E"/>
    <w:rsid w:val="00492649"/>
    <w:rsid w:val="004927F0"/>
    <w:rsid w:val="00492E64"/>
    <w:rsid w:val="0049307B"/>
    <w:rsid w:val="0049315D"/>
    <w:rsid w:val="00493624"/>
    <w:rsid w:val="004936A0"/>
    <w:rsid w:val="00493764"/>
    <w:rsid w:val="00493A22"/>
    <w:rsid w:val="00493B53"/>
    <w:rsid w:val="00493C19"/>
    <w:rsid w:val="00493D16"/>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2F2"/>
    <w:rsid w:val="0049735A"/>
    <w:rsid w:val="0049759D"/>
    <w:rsid w:val="004975C5"/>
    <w:rsid w:val="0049776D"/>
    <w:rsid w:val="004979FB"/>
    <w:rsid w:val="00497D10"/>
    <w:rsid w:val="004A0321"/>
    <w:rsid w:val="004A150D"/>
    <w:rsid w:val="004A1629"/>
    <w:rsid w:val="004A167D"/>
    <w:rsid w:val="004A2386"/>
    <w:rsid w:val="004A24EF"/>
    <w:rsid w:val="004A2673"/>
    <w:rsid w:val="004A280D"/>
    <w:rsid w:val="004A293B"/>
    <w:rsid w:val="004A2CA4"/>
    <w:rsid w:val="004A2DD9"/>
    <w:rsid w:val="004A35DF"/>
    <w:rsid w:val="004A37D5"/>
    <w:rsid w:val="004A3809"/>
    <w:rsid w:val="004A39B2"/>
    <w:rsid w:val="004A3C1A"/>
    <w:rsid w:val="004A3E5D"/>
    <w:rsid w:val="004A3FF5"/>
    <w:rsid w:val="004A434A"/>
    <w:rsid w:val="004A443C"/>
    <w:rsid w:val="004A4928"/>
    <w:rsid w:val="004A4E75"/>
    <w:rsid w:val="004A5232"/>
    <w:rsid w:val="004A52E9"/>
    <w:rsid w:val="004A5363"/>
    <w:rsid w:val="004A5471"/>
    <w:rsid w:val="004A64CD"/>
    <w:rsid w:val="004A65AC"/>
    <w:rsid w:val="004A65AF"/>
    <w:rsid w:val="004A6C98"/>
    <w:rsid w:val="004A6EEF"/>
    <w:rsid w:val="004A714D"/>
    <w:rsid w:val="004A736A"/>
    <w:rsid w:val="004B023D"/>
    <w:rsid w:val="004B02B0"/>
    <w:rsid w:val="004B0501"/>
    <w:rsid w:val="004B111C"/>
    <w:rsid w:val="004B1168"/>
    <w:rsid w:val="004B1278"/>
    <w:rsid w:val="004B13FE"/>
    <w:rsid w:val="004B1441"/>
    <w:rsid w:val="004B18F4"/>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4A7"/>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1D7"/>
    <w:rsid w:val="004C16AC"/>
    <w:rsid w:val="004C19D4"/>
    <w:rsid w:val="004C1A60"/>
    <w:rsid w:val="004C1AD3"/>
    <w:rsid w:val="004C1F45"/>
    <w:rsid w:val="004C26CD"/>
    <w:rsid w:val="004C2C35"/>
    <w:rsid w:val="004C3120"/>
    <w:rsid w:val="004C31F3"/>
    <w:rsid w:val="004C32DD"/>
    <w:rsid w:val="004C32EB"/>
    <w:rsid w:val="004C34A7"/>
    <w:rsid w:val="004C4069"/>
    <w:rsid w:val="004C40CC"/>
    <w:rsid w:val="004C42E2"/>
    <w:rsid w:val="004C4401"/>
    <w:rsid w:val="004C4627"/>
    <w:rsid w:val="004C4BC7"/>
    <w:rsid w:val="004C4C0B"/>
    <w:rsid w:val="004C4CAD"/>
    <w:rsid w:val="004C4E27"/>
    <w:rsid w:val="004C4EA2"/>
    <w:rsid w:val="004C4ECE"/>
    <w:rsid w:val="004C53EC"/>
    <w:rsid w:val="004C55A1"/>
    <w:rsid w:val="004C5D5F"/>
    <w:rsid w:val="004C6145"/>
    <w:rsid w:val="004C61B7"/>
    <w:rsid w:val="004C6243"/>
    <w:rsid w:val="004C6324"/>
    <w:rsid w:val="004C69F7"/>
    <w:rsid w:val="004C6D16"/>
    <w:rsid w:val="004C7062"/>
    <w:rsid w:val="004C76B6"/>
    <w:rsid w:val="004C78BF"/>
    <w:rsid w:val="004D0574"/>
    <w:rsid w:val="004D0831"/>
    <w:rsid w:val="004D0856"/>
    <w:rsid w:val="004D0F8D"/>
    <w:rsid w:val="004D1086"/>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702"/>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530"/>
    <w:rsid w:val="004F0889"/>
    <w:rsid w:val="004F0B10"/>
    <w:rsid w:val="004F0D8A"/>
    <w:rsid w:val="004F0F5E"/>
    <w:rsid w:val="004F147C"/>
    <w:rsid w:val="004F14D0"/>
    <w:rsid w:val="004F1797"/>
    <w:rsid w:val="004F1BD0"/>
    <w:rsid w:val="004F2407"/>
    <w:rsid w:val="004F25F4"/>
    <w:rsid w:val="004F2A7A"/>
    <w:rsid w:val="004F3085"/>
    <w:rsid w:val="004F38EA"/>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5F"/>
    <w:rsid w:val="00501596"/>
    <w:rsid w:val="005015CF"/>
    <w:rsid w:val="005015DA"/>
    <w:rsid w:val="00501ACD"/>
    <w:rsid w:val="0050274C"/>
    <w:rsid w:val="00502B94"/>
    <w:rsid w:val="00502CFE"/>
    <w:rsid w:val="005030D4"/>
    <w:rsid w:val="0050311E"/>
    <w:rsid w:val="0050321C"/>
    <w:rsid w:val="00503AE2"/>
    <w:rsid w:val="00503D93"/>
    <w:rsid w:val="00504360"/>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C9B"/>
    <w:rsid w:val="00511D77"/>
    <w:rsid w:val="00512580"/>
    <w:rsid w:val="005125EE"/>
    <w:rsid w:val="00512718"/>
    <w:rsid w:val="0051272C"/>
    <w:rsid w:val="0051279E"/>
    <w:rsid w:val="005128E8"/>
    <w:rsid w:val="00512C5B"/>
    <w:rsid w:val="005135F6"/>
    <w:rsid w:val="0051361C"/>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3FD"/>
    <w:rsid w:val="00521465"/>
    <w:rsid w:val="00521650"/>
    <w:rsid w:val="005218CE"/>
    <w:rsid w:val="00521B66"/>
    <w:rsid w:val="00521D3D"/>
    <w:rsid w:val="00522018"/>
    <w:rsid w:val="005220D2"/>
    <w:rsid w:val="00522400"/>
    <w:rsid w:val="0052304D"/>
    <w:rsid w:val="00523152"/>
    <w:rsid w:val="00523251"/>
    <w:rsid w:val="00523757"/>
    <w:rsid w:val="0052376B"/>
    <w:rsid w:val="00523839"/>
    <w:rsid w:val="005239C2"/>
    <w:rsid w:val="00523B69"/>
    <w:rsid w:val="00523F7A"/>
    <w:rsid w:val="00524188"/>
    <w:rsid w:val="00524207"/>
    <w:rsid w:val="005243E1"/>
    <w:rsid w:val="005243E6"/>
    <w:rsid w:val="005245BE"/>
    <w:rsid w:val="005247A9"/>
    <w:rsid w:val="005250DD"/>
    <w:rsid w:val="00525893"/>
    <w:rsid w:val="00525AB6"/>
    <w:rsid w:val="00525CCE"/>
    <w:rsid w:val="00525D12"/>
    <w:rsid w:val="00525DB8"/>
    <w:rsid w:val="00525F46"/>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08B"/>
    <w:rsid w:val="0053546D"/>
    <w:rsid w:val="00535AC2"/>
    <w:rsid w:val="0053601E"/>
    <w:rsid w:val="00536906"/>
    <w:rsid w:val="00536B5C"/>
    <w:rsid w:val="00536D95"/>
    <w:rsid w:val="00537131"/>
    <w:rsid w:val="00537A86"/>
    <w:rsid w:val="00537C02"/>
    <w:rsid w:val="00537C0F"/>
    <w:rsid w:val="00537D44"/>
    <w:rsid w:val="005402E2"/>
    <w:rsid w:val="00540804"/>
    <w:rsid w:val="0054083E"/>
    <w:rsid w:val="00540C91"/>
    <w:rsid w:val="00540EDF"/>
    <w:rsid w:val="00540FE2"/>
    <w:rsid w:val="005414EF"/>
    <w:rsid w:val="00541610"/>
    <w:rsid w:val="00541957"/>
    <w:rsid w:val="00541F1A"/>
    <w:rsid w:val="00542233"/>
    <w:rsid w:val="00542408"/>
    <w:rsid w:val="00542473"/>
    <w:rsid w:val="0054288C"/>
    <w:rsid w:val="00542AB4"/>
    <w:rsid w:val="00542B64"/>
    <w:rsid w:val="00542F04"/>
    <w:rsid w:val="00542F73"/>
    <w:rsid w:val="00543212"/>
    <w:rsid w:val="00543260"/>
    <w:rsid w:val="0054345A"/>
    <w:rsid w:val="0054367B"/>
    <w:rsid w:val="00543797"/>
    <w:rsid w:val="00543809"/>
    <w:rsid w:val="00543C53"/>
    <w:rsid w:val="00544603"/>
    <w:rsid w:val="00544D0C"/>
    <w:rsid w:val="00544F2D"/>
    <w:rsid w:val="0054531C"/>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21BE"/>
    <w:rsid w:val="0056254F"/>
    <w:rsid w:val="005625C0"/>
    <w:rsid w:val="0056278A"/>
    <w:rsid w:val="00562CE8"/>
    <w:rsid w:val="00562EFD"/>
    <w:rsid w:val="00563164"/>
    <w:rsid w:val="005636A9"/>
    <w:rsid w:val="005638EF"/>
    <w:rsid w:val="00563AEC"/>
    <w:rsid w:val="00563FAD"/>
    <w:rsid w:val="005641CB"/>
    <w:rsid w:val="005644C3"/>
    <w:rsid w:val="0056487E"/>
    <w:rsid w:val="00564A33"/>
    <w:rsid w:val="005655B3"/>
    <w:rsid w:val="0056615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790"/>
    <w:rsid w:val="00574829"/>
    <w:rsid w:val="005750AF"/>
    <w:rsid w:val="0057515F"/>
    <w:rsid w:val="005751C7"/>
    <w:rsid w:val="005754D2"/>
    <w:rsid w:val="00575674"/>
    <w:rsid w:val="00575747"/>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7F0"/>
    <w:rsid w:val="00581B8A"/>
    <w:rsid w:val="00581E0B"/>
    <w:rsid w:val="00581E93"/>
    <w:rsid w:val="00582002"/>
    <w:rsid w:val="005825BD"/>
    <w:rsid w:val="0058278B"/>
    <w:rsid w:val="00582B1F"/>
    <w:rsid w:val="00582D40"/>
    <w:rsid w:val="00582DDD"/>
    <w:rsid w:val="00582F1A"/>
    <w:rsid w:val="005835CA"/>
    <w:rsid w:val="00583C58"/>
    <w:rsid w:val="00583D69"/>
    <w:rsid w:val="00584006"/>
    <w:rsid w:val="00584050"/>
    <w:rsid w:val="00584156"/>
    <w:rsid w:val="00584B90"/>
    <w:rsid w:val="00584CF3"/>
    <w:rsid w:val="0058501F"/>
    <w:rsid w:val="00585517"/>
    <w:rsid w:val="00585525"/>
    <w:rsid w:val="00585538"/>
    <w:rsid w:val="0058570E"/>
    <w:rsid w:val="00585E4C"/>
    <w:rsid w:val="005860CF"/>
    <w:rsid w:val="005861E2"/>
    <w:rsid w:val="0058680E"/>
    <w:rsid w:val="00586B5C"/>
    <w:rsid w:val="00586CB4"/>
    <w:rsid w:val="00586D72"/>
    <w:rsid w:val="00586FB4"/>
    <w:rsid w:val="00587231"/>
    <w:rsid w:val="00587334"/>
    <w:rsid w:val="00590319"/>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C59"/>
    <w:rsid w:val="00593DCE"/>
    <w:rsid w:val="005949B7"/>
    <w:rsid w:val="00594A39"/>
    <w:rsid w:val="00594F87"/>
    <w:rsid w:val="00595081"/>
    <w:rsid w:val="00595E31"/>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3FC"/>
    <w:rsid w:val="005A7637"/>
    <w:rsid w:val="005A77B0"/>
    <w:rsid w:val="005A7CDE"/>
    <w:rsid w:val="005A7F14"/>
    <w:rsid w:val="005B02E2"/>
    <w:rsid w:val="005B0469"/>
    <w:rsid w:val="005B0534"/>
    <w:rsid w:val="005B0573"/>
    <w:rsid w:val="005B0739"/>
    <w:rsid w:val="005B1085"/>
    <w:rsid w:val="005B12C8"/>
    <w:rsid w:val="005B14E4"/>
    <w:rsid w:val="005B171B"/>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6DF1"/>
    <w:rsid w:val="005B742A"/>
    <w:rsid w:val="005B77F0"/>
    <w:rsid w:val="005B787B"/>
    <w:rsid w:val="005B7E0A"/>
    <w:rsid w:val="005C05A1"/>
    <w:rsid w:val="005C0F0D"/>
    <w:rsid w:val="005C10C3"/>
    <w:rsid w:val="005C14E3"/>
    <w:rsid w:val="005C15E6"/>
    <w:rsid w:val="005C176B"/>
    <w:rsid w:val="005C1A02"/>
    <w:rsid w:val="005C1F21"/>
    <w:rsid w:val="005C2133"/>
    <w:rsid w:val="005C2A2F"/>
    <w:rsid w:val="005C3648"/>
    <w:rsid w:val="005C36CB"/>
    <w:rsid w:val="005C3B25"/>
    <w:rsid w:val="005C3C79"/>
    <w:rsid w:val="005C41EA"/>
    <w:rsid w:val="005C4246"/>
    <w:rsid w:val="005C44C7"/>
    <w:rsid w:val="005C468C"/>
    <w:rsid w:val="005C4BD2"/>
    <w:rsid w:val="005C5312"/>
    <w:rsid w:val="005C5858"/>
    <w:rsid w:val="005C58BC"/>
    <w:rsid w:val="005C5ACE"/>
    <w:rsid w:val="005C68E9"/>
    <w:rsid w:val="005C69C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7A3"/>
    <w:rsid w:val="005D3BA3"/>
    <w:rsid w:val="005D4B6D"/>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143"/>
    <w:rsid w:val="005E0381"/>
    <w:rsid w:val="005E03A9"/>
    <w:rsid w:val="005E047B"/>
    <w:rsid w:val="005E04B1"/>
    <w:rsid w:val="005E0719"/>
    <w:rsid w:val="005E0809"/>
    <w:rsid w:val="005E0F3E"/>
    <w:rsid w:val="005E1016"/>
    <w:rsid w:val="005E12E0"/>
    <w:rsid w:val="005E1376"/>
    <w:rsid w:val="005E146D"/>
    <w:rsid w:val="005E197E"/>
    <w:rsid w:val="005E1C43"/>
    <w:rsid w:val="005E1F09"/>
    <w:rsid w:val="005E24E1"/>
    <w:rsid w:val="005E2FB4"/>
    <w:rsid w:val="005E33A7"/>
    <w:rsid w:val="005E39B6"/>
    <w:rsid w:val="005E3E54"/>
    <w:rsid w:val="005E408A"/>
    <w:rsid w:val="005E40FD"/>
    <w:rsid w:val="005E436D"/>
    <w:rsid w:val="005E4C97"/>
    <w:rsid w:val="005E5278"/>
    <w:rsid w:val="005E555E"/>
    <w:rsid w:val="005E5A74"/>
    <w:rsid w:val="005E64E5"/>
    <w:rsid w:val="005E6DC0"/>
    <w:rsid w:val="005E6E34"/>
    <w:rsid w:val="005E6FF7"/>
    <w:rsid w:val="005E7018"/>
    <w:rsid w:val="005E7201"/>
    <w:rsid w:val="005E7267"/>
    <w:rsid w:val="005E7759"/>
    <w:rsid w:val="005E78BC"/>
    <w:rsid w:val="005F044F"/>
    <w:rsid w:val="005F0475"/>
    <w:rsid w:val="005F04A1"/>
    <w:rsid w:val="005F068E"/>
    <w:rsid w:val="005F0905"/>
    <w:rsid w:val="005F0A04"/>
    <w:rsid w:val="005F0AE6"/>
    <w:rsid w:val="005F0C3F"/>
    <w:rsid w:val="005F0CA2"/>
    <w:rsid w:val="005F0F5F"/>
    <w:rsid w:val="005F0FE2"/>
    <w:rsid w:val="005F1565"/>
    <w:rsid w:val="005F1650"/>
    <w:rsid w:val="005F1D2E"/>
    <w:rsid w:val="005F24A5"/>
    <w:rsid w:val="005F24B7"/>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A94"/>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1DBF"/>
    <w:rsid w:val="0060261A"/>
    <w:rsid w:val="006032E4"/>
    <w:rsid w:val="0060354D"/>
    <w:rsid w:val="00603650"/>
    <w:rsid w:val="00603932"/>
    <w:rsid w:val="00603ADB"/>
    <w:rsid w:val="00603BC9"/>
    <w:rsid w:val="00603DC7"/>
    <w:rsid w:val="00604132"/>
    <w:rsid w:val="00604377"/>
    <w:rsid w:val="00604763"/>
    <w:rsid w:val="00604BE2"/>
    <w:rsid w:val="00604D22"/>
    <w:rsid w:val="006052F8"/>
    <w:rsid w:val="006054AD"/>
    <w:rsid w:val="00605C8F"/>
    <w:rsid w:val="00605C9C"/>
    <w:rsid w:val="006064E4"/>
    <w:rsid w:val="006066BB"/>
    <w:rsid w:val="00606A57"/>
    <w:rsid w:val="00606B38"/>
    <w:rsid w:val="00606D4D"/>
    <w:rsid w:val="00606D85"/>
    <w:rsid w:val="00606E4F"/>
    <w:rsid w:val="00606EA2"/>
    <w:rsid w:val="006070F7"/>
    <w:rsid w:val="006075E7"/>
    <w:rsid w:val="00607A83"/>
    <w:rsid w:val="00607B2F"/>
    <w:rsid w:val="00607E80"/>
    <w:rsid w:val="00607E88"/>
    <w:rsid w:val="00610229"/>
    <w:rsid w:val="006105BA"/>
    <w:rsid w:val="00610AE3"/>
    <w:rsid w:val="00610B7E"/>
    <w:rsid w:val="00610C1F"/>
    <w:rsid w:val="006112D0"/>
    <w:rsid w:val="006122D7"/>
    <w:rsid w:val="006123CD"/>
    <w:rsid w:val="00612A21"/>
    <w:rsid w:val="00612D31"/>
    <w:rsid w:val="00612E37"/>
    <w:rsid w:val="00612F27"/>
    <w:rsid w:val="0061335D"/>
    <w:rsid w:val="006135BF"/>
    <w:rsid w:val="00614076"/>
    <w:rsid w:val="00614457"/>
    <w:rsid w:val="00614461"/>
    <w:rsid w:val="00614D4E"/>
    <w:rsid w:val="006157AC"/>
    <w:rsid w:val="00615A6F"/>
    <w:rsid w:val="00615B07"/>
    <w:rsid w:val="00615CF4"/>
    <w:rsid w:val="00615D91"/>
    <w:rsid w:val="0061605E"/>
    <w:rsid w:val="00616236"/>
    <w:rsid w:val="00616A9A"/>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34E"/>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30372"/>
    <w:rsid w:val="00630D32"/>
    <w:rsid w:val="0063104F"/>
    <w:rsid w:val="00631295"/>
    <w:rsid w:val="006316D0"/>
    <w:rsid w:val="006319F4"/>
    <w:rsid w:val="00631C0A"/>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3FF4"/>
    <w:rsid w:val="00634437"/>
    <w:rsid w:val="0063479F"/>
    <w:rsid w:val="00634879"/>
    <w:rsid w:val="00634FC5"/>
    <w:rsid w:val="0063509F"/>
    <w:rsid w:val="0063536A"/>
    <w:rsid w:val="00635555"/>
    <w:rsid w:val="00635602"/>
    <w:rsid w:val="0063567C"/>
    <w:rsid w:val="00635A86"/>
    <w:rsid w:val="00635BA7"/>
    <w:rsid w:val="00635FB5"/>
    <w:rsid w:val="00636495"/>
    <w:rsid w:val="00636784"/>
    <w:rsid w:val="006368D5"/>
    <w:rsid w:val="00637089"/>
    <w:rsid w:val="00637374"/>
    <w:rsid w:val="00637403"/>
    <w:rsid w:val="006374BD"/>
    <w:rsid w:val="006377B9"/>
    <w:rsid w:val="006377EB"/>
    <w:rsid w:val="00637EF7"/>
    <w:rsid w:val="00637F9A"/>
    <w:rsid w:val="00640111"/>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5C9"/>
    <w:rsid w:val="0064570F"/>
    <w:rsid w:val="00645BDB"/>
    <w:rsid w:val="00645C2F"/>
    <w:rsid w:val="00645DDF"/>
    <w:rsid w:val="00645EE7"/>
    <w:rsid w:val="006463C5"/>
    <w:rsid w:val="0064644C"/>
    <w:rsid w:val="00646951"/>
    <w:rsid w:val="00646D3F"/>
    <w:rsid w:val="00646E3C"/>
    <w:rsid w:val="00646E90"/>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561"/>
    <w:rsid w:val="00653578"/>
    <w:rsid w:val="006538DD"/>
    <w:rsid w:val="006539E6"/>
    <w:rsid w:val="00653DB6"/>
    <w:rsid w:val="00653E3C"/>
    <w:rsid w:val="00653E9E"/>
    <w:rsid w:val="00654111"/>
    <w:rsid w:val="006541AA"/>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0F6D"/>
    <w:rsid w:val="006611C8"/>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4C78"/>
    <w:rsid w:val="006651EE"/>
    <w:rsid w:val="00665957"/>
    <w:rsid w:val="00666640"/>
    <w:rsid w:val="00666812"/>
    <w:rsid w:val="006668C2"/>
    <w:rsid w:val="00666946"/>
    <w:rsid w:val="00666FB1"/>
    <w:rsid w:val="006675DF"/>
    <w:rsid w:val="00667757"/>
    <w:rsid w:val="00667764"/>
    <w:rsid w:val="00667936"/>
    <w:rsid w:val="0067028D"/>
    <w:rsid w:val="00670428"/>
    <w:rsid w:val="00670978"/>
    <w:rsid w:val="006709B2"/>
    <w:rsid w:val="006712A4"/>
    <w:rsid w:val="006715E2"/>
    <w:rsid w:val="00671E25"/>
    <w:rsid w:val="00672002"/>
    <w:rsid w:val="0067219D"/>
    <w:rsid w:val="00672322"/>
    <w:rsid w:val="0067279E"/>
    <w:rsid w:val="0067290D"/>
    <w:rsid w:val="006734B8"/>
    <w:rsid w:val="00673501"/>
    <w:rsid w:val="00673D0A"/>
    <w:rsid w:val="00673DEF"/>
    <w:rsid w:val="00673E68"/>
    <w:rsid w:val="00674026"/>
    <w:rsid w:val="006745C2"/>
    <w:rsid w:val="00674D37"/>
    <w:rsid w:val="00675144"/>
    <w:rsid w:val="00675189"/>
    <w:rsid w:val="00675600"/>
    <w:rsid w:val="006757B8"/>
    <w:rsid w:val="00675844"/>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0E"/>
    <w:rsid w:val="00684F60"/>
    <w:rsid w:val="006850C6"/>
    <w:rsid w:val="0068659B"/>
    <w:rsid w:val="00686685"/>
    <w:rsid w:val="00686714"/>
    <w:rsid w:val="0068686B"/>
    <w:rsid w:val="00686A14"/>
    <w:rsid w:val="00686B0E"/>
    <w:rsid w:val="00686E10"/>
    <w:rsid w:val="006873B6"/>
    <w:rsid w:val="00687A95"/>
    <w:rsid w:val="00687E2D"/>
    <w:rsid w:val="006902D9"/>
    <w:rsid w:val="0069050E"/>
    <w:rsid w:val="00690A22"/>
    <w:rsid w:val="0069117F"/>
    <w:rsid w:val="00691421"/>
    <w:rsid w:val="006914AA"/>
    <w:rsid w:val="006914CF"/>
    <w:rsid w:val="00691DAD"/>
    <w:rsid w:val="006920B0"/>
    <w:rsid w:val="006920E6"/>
    <w:rsid w:val="00692394"/>
    <w:rsid w:val="006926B1"/>
    <w:rsid w:val="0069294A"/>
    <w:rsid w:val="006929F2"/>
    <w:rsid w:val="00692B83"/>
    <w:rsid w:val="006939F9"/>
    <w:rsid w:val="00693ED3"/>
    <w:rsid w:val="00693F07"/>
    <w:rsid w:val="006941B6"/>
    <w:rsid w:val="00694F03"/>
    <w:rsid w:val="00694F8C"/>
    <w:rsid w:val="0069501D"/>
    <w:rsid w:val="00695DAD"/>
    <w:rsid w:val="006960F5"/>
    <w:rsid w:val="00696A75"/>
    <w:rsid w:val="00696A7C"/>
    <w:rsid w:val="00696C45"/>
    <w:rsid w:val="00696E31"/>
    <w:rsid w:val="00696F45"/>
    <w:rsid w:val="00696FA5"/>
    <w:rsid w:val="0069712C"/>
    <w:rsid w:val="00697145"/>
    <w:rsid w:val="00697150"/>
    <w:rsid w:val="00697704"/>
    <w:rsid w:val="00697980"/>
    <w:rsid w:val="00697A12"/>
    <w:rsid w:val="00697E9B"/>
    <w:rsid w:val="006A049C"/>
    <w:rsid w:val="006A0558"/>
    <w:rsid w:val="006A0576"/>
    <w:rsid w:val="006A0845"/>
    <w:rsid w:val="006A0F70"/>
    <w:rsid w:val="006A1070"/>
    <w:rsid w:val="006A1116"/>
    <w:rsid w:val="006A1438"/>
    <w:rsid w:val="006A1800"/>
    <w:rsid w:val="006A1943"/>
    <w:rsid w:val="006A19ED"/>
    <w:rsid w:val="006A1E3B"/>
    <w:rsid w:val="006A20DC"/>
    <w:rsid w:val="006A2251"/>
    <w:rsid w:val="006A232C"/>
    <w:rsid w:val="006A2926"/>
    <w:rsid w:val="006A2CA1"/>
    <w:rsid w:val="006A2FDF"/>
    <w:rsid w:val="006A314E"/>
    <w:rsid w:val="006A3375"/>
    <w:rsid w:val="006A360E"/>
    <w:rsid w:val="006A3964"/>
    <w:rsid w:val="006A3C83"/>
    <w:rsid w:val="006A43F8"/>
    <w:rsid w:val="006A444D"/>
    <w:rsid w:val="006A47AA"/>
    <w:rsid w:val="006A4A02"/>
    <w:rsid w:val="006A4A44"/>
    <w:rsid w:val="006A4B54"/>
    <w:rsid w:val="006A4D91"/>
    <w:rsid w:val="006A4DA7"/>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174"/>
    <w:rsid w:val="006B0B2B"/>
    <w:rsid w:val="006B0B90"/>
    <w:rsid w:val="006B0C14"/>
    <w:rsid w:val="006B0C67"/>
    <w:rsid w:val="006B0ECF"/>
    <w:rsid w:val="006B0FDD"/>
    <w:rsid w:val="006B14E6"/>
    <w:rsid w:val="006B1654"/>
    <w:rsid w:val="006B1695"/>
    <w:rsid w:val="006B1A65"/>
    <w:rsid w:val="006B1E75"/>
    <w:rsid w:val="006B2297"/>
    <w:rsid w:val="006B27DE"/>
    <w:rsid w:val="006B2B1E"/>
    <w:rsid w:val="006B2BD9"/>
    <w:rsid w:val="006B3234"/>
    <w:rsid w:val="006B339A"/>
    <w:rsid w:val="006B358A"/>
    <w:rsid w:val="006B3759"/>
    <w:rsid w:val="006B3899"/>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4F"/>
    <w:rsid w:val="006B64FF"/>
    <w:rsid w:val="006B6530"/>
    <w:rsid w:val="006B6589"/>
    <w:rsid w:val="006B6C86"/>
    <w:rsid w:val="006B77FE"/>
    <w:rsid w:val="006C00B3"/>
    <w:rsid w:val="006C00FD"/>
    <w:rsid w:val="006C0422"/>
    <w:rsid w:val="006C0475"/>
    <w:rsid w:val="006C0682"/>
    <w:rsid w:val="006C0A56"/>
    <w:rsid w:val="006C0D58"/>
    <w:rsid w:val="006C0E04"/>
    <w:rsid w:val="006C0E09"/>
    <w:rsid w:val="006C0E2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BA1"/>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52D"/>
    <w:rsid w:val="006D4781"/>
    <w:rsid w:val="006D4969"/>
    <w:rsid w:val="006D49F4"/>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0BB0"/>
    <w:rsid w:val="006E151D"/>
    <w:rsid w:val="006E1949"/>
    <w:rsid w:val="006E19CD"/>
    <w:rsid w:val="006E1E4C"/>
    <w:rsid w:val="006E250C"/>
    <w:rsid w:val="006E2619"/>
    <w:rsid w:val="006E2FE8"/>
    <w:rsid w:val="006E328A"/>
    <w:rsid w:val="006E3530"/>
    <w:rsid w:val="006E3C00"/>
    <w:rsid w:val="006E3E89"/>
    <w:rsid w:val="006E3F2E"/>
    <w:rsid w:val="006E3F94"/>
    <w:rsid w:val="006E411F"/>
    <w:rsid w:val="006E4480"/>
    <w:rsid w:val="006E484D"/>
    <w:rsid w:val="006E4CD8"/>
    <w:rsid w:val="006E5763"/>
    <w:rsid w:val="006E5798"/>
    <w:rsid w:val="006E58AB"/>
    <w:rsid w:val="006E59AF"/>
    <w:rsid w:val="006E5C1F"/>
    <w:rsid w:val="006E5DF8"/>
    <w:rsid w:val="006E6678"/>
    <w:rsid w:val="006E6CDE"/>
    <w:rsid w:val="006E7157"/>
    <w:rsid w:val="006E7240"/>
    <w:rsid w:val="006E72A9"/>
    <w:rsid w:val="006E72AE"/>
    <w:rsid w:val="006E79E4"/>
    <w:rsid w:val="006E7BF8"/>
    <w:rsid w:val="006E7E0F"/>
    <w:rsid w:val="006E7FE2"/>
    <w:rsid w:val="006F0287"/>
    <w:rsid w:val="006F0570"/>
    <w:rsid w:val="006F06B9"/>
    <w:rsid w:val="006F0907"/>
    <w:rsid w:val="006F0ECB"/>
    <w:rsid w:val="006F0FDE"/>
    <w:rsid w:val="006F1052"/>
    <w:rsid w:val="006F11AA"/>
    <w:rsid w:val="006F127F"/>
    <w:rsid w:val="006F1B63"/>
    <w:rsid w:val="006F1DFC"/>
    <w:rsid w:val="006F1E59"/>
    <w:rsid w:val="006F26DD"/>
    <w:rsid w:val="006F29ED"/>
    <w:rsid w:val="006F2B36"/>
    <w:rsid w:val="006F2C9D"/>
    <w:rsid w:val="006F3443"/>
    <w:rsid w:val="006F3B81"/>
    <w:rsid w:val="006F3E94"/>
    <w:rsid w:val="006F42A6"/>
    <w:rsid w:val="006F475D"/>
    <w:rsid w:val="006F4EA4"/>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28C"/>
    <w:rsid w:val="007034A5"/>
    <w:rsid w:val="00703A36"/>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500"/>
    <w:rsid w:val="0070678F"/>
    <w:rsid w:val="00706AA0"/>
    <w:rsid w:val="00706BAA"/>
    <w:rsid w:val="00706C4C"/>
    <w:rsid w:val="00707173"/>
    <w:rsid w:val="007073A0"/>
    <w:rsid w:val="00707468"/>
    <w:rsid w:val="00707518"/>
    <w:rsid w:val="00707897"/>
    <w:rsid w:val="0070792D"/>
    <w:rsid w:val="00707AA1"/>
    <w:rsid w:val="00707EC2"/>
    <w:rsid w:val="0071023B"/>
    <w:rsid w:val="00710512"/>
    <w:rsid w:val="00710CA3"/>
    <w:rsid w:val="00710D03"/>
    <w:rsid w:val="00711060"/>
    <w:rsid w:val="0071138C"/>
    <w:rsid w:val="007118B9"/>
    <w:rsid w:val="007118E3"/>
    <w:rsid w:val="0071192B"/>
    <w:rsid w:val="00711995"/>
    <w:rsid w:val="00711A65"/>
    <w:rsid w:val="00711B1E"/>
    <w:rsid w:val="00711EEE"/>
    <w:rsid w:val="007121D3"/>
    <w:rsid w:val="00712714"/>
    <w:rsid w:val="00713647"/>
    <w:rsid w:val="00713C12"/>
    <w:rsid w:val="00713D36"/>
    <w:rsid w:val="00714814"/>
    <w:rsid w:val="00714857"/>
    <w:rsid w:val="00714DB8"/>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6066"/>
    <w:rsid w:val="00726807"/>
    <w:rsid w:val="00726BC0"/>
    <w:rsid w:val="007271E1"/>
    <w:rsid w:val="0072788E"/>
    <w:rsid w:val="00727CE0"/>
    <w:rsid w:val="007302DA"/>
    <w:rsid w:val="0073084C"/>
    <w:rsid w:val="00730A00"/>
    <w:rsid w:val="00730A05"/>
    <w:rsid w:val="00730B12"/>
    <w:rsid w:val="00730CDA"/>
    <w:rsid w:val="00730F97"/>
    <w:rsid w:val="00731AF9"/>
    <w:rsid w:val="00731DA9"/>
    <w:rsid w:val="00731FA7"/>
    <w:rsid w:val="00732610"/>
    <w:rsid w:val="00732F87"/>
    <w:rsid w:val="00733539"/>
    <w:rsid w:val="007339AE"/>
    <w:rsid w:val="00733B12"/>
    <w:rsid w:val="00734279"/>
    <w:rsid w:val="007343A6"/>
    <w:rsid w:val="007349EF"/>
    <w:rsid w:val="00734B6D"/>
    <w:rsid w:val="00734DD2"/>
    <w:rsid w:val="00735A01"/>
    <w:rsid w:val="0073626D"/>
    <w:rsid w:val="00736445"/>
    <w:rsid w:val="0073647E"/>
    <w:rsid w:val="00736629"/>
    <w:rsid w:val="0073666C"/>
    <w:rsid w:val="0073677B"/>
    <w:rsid w:val="00736884"/>
    <w:rsid w:val="00736A84"/>
    <w:rsid w:val="007370C1"/>
    <w:rsid w:val="007373F0"/>
    <w:rsid w:val="00737448"/>
    <w:rsid w:val="00737584"/>
    <w:rsid w:val="00737CB1"/>
    <w:rsid w:val="00740222"/>
    <w:rsid w:val="007403DE"/>
    <w:rsid w:val="00740453"/>
    <w:rsid w:val="007404BA"/>
    <w:rsid w:val="00740573"/>
    <w:rsid w:val="007405FB"/>
    <w:rsid w:val="007407AF"/>
    <w:rsid w:val="00740B54"/>
    <w:rsid w:val="00740C84"/>
    <w:rsid w:val="00740D56"/>
    <w:rsid w:val="007410F1"/>
    <w:rsid w:val="007416FF"/>
    <w:rsid w:val="0074192E"/>
    <w:rsid w:val="00741F43"/>
    <w:rsid w:val="00742095"/>
    <w:rsid w:val="007420B8"/>
    <w:rsid w:val="00742462"/>
    <w:rsid w:val="00742B3F"/>
    <w:rsid w:val="00742F66"/>
    <w:rsid w:val="00742FC5"/>
    <w:rsid w:val="007431CD"/>
    <w:rsid w:val="00743556"/>
    <w:rsid w:val="0074386C"/>
    <w:rsid w:val="00743A65"/>
    <w:rsid w:val="00744116"/>
    <w:rsid w:val="00744372"/>
    <w:rsid w:val="00744636"/>
    <w:rsid w:val="0074474F"/>
    <w:rsid w:val="0074513B"/>
    <w:rsid w:val="007452F4"/>
    <w:rsid w:val="00745B99"/>
    <w:rsid w:val="00745E5E"/>
    <w:rsid w:val="00746075"/>
    <w:rsid w:val="00746B1D"/>
    <w:rsid w:val="007470BB"/>
    <w:rsid w:val="00747197"/>
    <w:rsid w:val="0074719B"/>
    <w:rsid w:val="007474AF"/>
    <w:rsid w:val="00747816"/>
    <w:rsid w:val="00747C2C"/>
    <w:rsid w:val="00747CD1"/>
    <w:rsid w:val="00747EDD"/>
    <w:rsid w:val="00750177"/>
    <w:rsid w:val="0075019F"/>
    <w:rsid w:val="0075074E"/>
    <w:rsid w:val="00750760"/>
    <w:rsid w:val="00750815"/>
    <w:rsid w:val="00750D81"/>
    <w:rsid w:val="00750E20"/>
    <w:rsid w:val="007517C1"/>
    <w:rsid w:val="0075196E"/>
    <w:rsid w:val="00751FF7"/>
    <w:rsid w:val="00752108"/>
    <w:rsid w:val="0075219B"/>
    <w:rsid w:val="007521BD"/>
    <w:rsid w:val="007521DA"/>
    <w:rsid w:val="0075268D"/>
    <w:rsid w:val="007526A1"/>
    <w:rsid w:val="00752AE2"/>
    <w:rsid w:val="00752AED"/>
    <w:rsid w:val="00752BB7"/>
    <w:rsid w:val="00752C01"/>
    <w:rsid w:val="00752F2B"/>
    <w:rsid w:val="00753477"/>
    <w:rsid w:val="0075349E"/>
    <w:rsid w:val="00753550"/>
    <w:rsid w:val="007536AE"/>
    <w:rsid w:val="007536C1"/>
    <w:rsid w:val="007537F8"/>
    <w:rsid w:val="00753925"/>
    <w:rsid w:val="00753971"/>
    <w:rsid w:val="00753C02"/>
    <w:rsid w:val="00753E22"/>
    <w:rsid w:val="007543A0"/>
    <w:rsid w:val="00754470"/>
    <w:rsid w:val="00754484"/>
    <w:rsid w:val="00754685"/>
    <w:rsid w:val="0075472F"/>
    <w:rsid w:val="00754F22"/>
    <w:rsid w:val="0075512B"/>
    <w:rsid w:val="00755381"/>
    <w:rsid w:val="00755524"/>
    <w:rsid w:val="00755D9F"/>
    <w:rsid w:val="00756513"/>
    <w:rsid w:val="00756549"/>
    <w:rsid w:val="00756D2B"/>
    <w:rsid w:val="00756EFE"/>
    <w:rsid w:val="007574E6"/>
    <w:rsid w:val="0075784C"/>
    <w:rsid w:val="00757F61"/>
    <w:rsid w:val="00760066"/>
    <w:rsid w:val="0076017C"/>
    <w:rsid w:val="00760455"/>
    <w:rsid w:val="00761D7A"/>
    <w:rsid w:val="00761EE6"/>
    <w:rsid w:val="00761FF9"/>
    <w:rsid w:val="00762220"/>
    <w:rsid w:val="0076228F"/>
    <w:rsid w:val="0076268F"/>
    <w:rsid w:val="00762957"/>
    <w:rsid w:val="00762B4C"/>
    <w:rsid w:val="00762E76"/>
    <w:rsid w:val="0076312F"/>
    <w:rsid w:val="007639F7"/>
    <w:rsid w:val="00763CC1"/>
    <w:rsid w:val="00763FC4"/>
    <w:rsid w:val="0076411F"/>
    <w:rsid w:val="0076416F"/>
    <w:rsid w:val="00764285"/>
    <w:rsid w:val="0076429A"/>
    <w:rsid w:val="007645BB"/>
    <w:rsid w:val="007645E7"/>
    <w:rsid w:val="007646A3"/>
    <w:rsid w:val="00764831"/>
    <w:rsid w:val="0076484B"/>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039"/>
    <w:rsid w:val="007733DA"/>
    <w:rsid w:val="007734AA"/>
    <w:rsid w:val="007734CD"/>
    <w:rsid w:val="00773773"/>
    <w:rsid w:val="00773992"/>
    <w:rsid w:val="0077408A"/>
    <w:rsid w:val="00774593"/>
    <w:rsid w:val="00775395"/>
    <w:rsid w:val="00775886"/>
    <w:rsid w:val="00775A2D"/>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9D"/>
    <w:rsid w:val="007815ED"/>
    <w:rsid w:val="00781739"/>
    <w:rsid w:val="007818F8"/>
    <w:rsid w:val="007822CB"/>
    <w:rsid w:val="007828DD"/>
    <w:rsid w:val="00782BC4"/>
    <w:rsid w:val="00782E4E"/>
    <w:rsid w:val="00783086"/>
    <w:rsid w:val="0078368A"/>
    <w:rsid w:val="00783790"/>
    <w:rsid w:val="00783AC2"/>
    <w:rsid w:val="00784361"/>
    <w:rsid w:val="00784463"/>
    <w:rsid w:val="00784790"/>
    <w:rsid w:val="0078546C"/>
    <w:rsid w:val="00785630"/>
    <w:rsid w:val="00785914"/>
    <w:rsid w:val="00785A67"/>
    <w:rsid w:val="007860D5"/>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25"/>
    <w:rsid w:val="00794598"/>
    <w:rsid w:val="00794A5A"/>
    <w:rsid w:val="00795175"/>
    <w:rsid w:val="007953FF"/>
    <w:rsid w:val="00795A17"/>
    <w:rsid w:val="00795E0B"/>
    <w:rsid w:val="00796539"/>
    <w:rsid w:val="00796990"/>
    <w:rsid w:val="00796F1F"/>
    <w:rsid w:val="00796F2E"/>
    <w:rsid w:val="00797262"/>
    <w:rsid w:val="007973AB"/>
    <w:rsid w:val="00797418"/>
    <w:rsid w:val="007974F4"/>
    <w:rsid w:val="00797502"/>
    <w:rsid w:val="007976C4"/>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688E"/>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2E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B17"/>
    <w:rsid w:val="007C0C06"/>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F50"/>
    <w:rsid w:val="007C4FAA"/>
    <w:rsid w:val="007C5257"/>
    <w:rsid w:val="007C54D6"/>
    <w:rsid w:val="007C60D1"/>
    <w:rsid w:val="007C6284"/>
    <w:rsid w:val="007C6608"/>
    <w:rsid w:val="007C6CA0"/>
    <w:rsid w:val="007C706B"/>
    <w:rsid w:val="007C75CD"/>
    <w:rsid w:val="007C7609"/>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E0F"/>
    <w:rsid w:val="007E3FB4"/>
    <w:rsid w:val="007E4444"/>
    <w:rsid w:val="007E4A4B"/>
    <w:rsid w:val="007E4B84"/>
    <w:rsid w:val="007E4C21"/>
    <w:rsid w:val="007E5586"/>
    <w:rsid w:val="007E55B2"/>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2C91"/>
    <w:rsid w:val="007F304B"/>
    <w:rsid w:val="007F39CE"/>
    <w:rsid w:val="007F3AAB"/>
    <w:rsid w:val="007F3ACC"/>
    <w:rsid w:val="007F3C9A"/>
    <w:rsid w:val="007F3DC9"/>
    <w:rsid w:val="007F4B39"/>
    <w:rsid w:val="007F4E30"/>
    <w:rsid w:val="007F54B7"/>
    <w:rsid w:val="007F5E32"/>
    <w:rsid w:val="007F6275"/>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26A3"/>
    <w:rsid w:val="008031C2"/>
    <w:rsid w:val="008031DA"/>
    <w:rsid w:val="00803541"/>
    <w:rsid w:val="0080356E"/>
    <w:rsid w:val="00803A44"/>
    <w:rsid w:val="00803CF1"/>
    <w:rsid w:val="00803F75"/>
    <w:rsid w:val="00804011"/>
    <w:rsid w:val="0080432C"/>
    <w:rsid w:val="00804440"/>
    <w:rsid w:val="00804616"/>
    <w:rsid w:val="00804D26"/>
    <w:rsid w:val="00804DDB"/>
    <w:rsid w:val="00804DF3"/>
    <w:rsid w:val="00805147"/>
    <w:rsid w:val="008053C4"/>
    <w:rsid w:val="00805873"/>
    <w:rsid w:val="00805A2B"/>
    <w:rsid w:val="00805DCA"/>
    <w:rsid w:val="00805EB6"/>
    <w:rsid w:val="00806238"/>
    <w:rsid w:val="008062B3"/>
    <w:rsid w:val="00806636"/>
    <w:rsid w:val="00807243"/>
    <w:rsid w:val="00807393"/>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A6"/>
    <w:rsid w:val="008143CB"/>
    <w:rsid w:val="008147FF"/>
    <w:rsid w:val="0081485B"/>
    <w:rsid w:val="008149BE"/>
    <w:rsid w:val="00814EBD"/>
    <w:rsid w:val="008153AE"/>
    <w:rsid w:val="008153CE"/>
    <w:rsid w:val="0081553D"/>
    <w:rsid w:val="008156B5"/>
    <w:rsid w:val="00815B2B"/>
    <w:rsid w:val="00815C2A"/>
    <w:rsid w:val="0081639E"/>
    <w:rsid w:val="00817888"/>
    <w:rsid w:val="00817C79"/>
    <w:rsid w:val="00817CB5"/>
    <w:rsid w:val="00820377"/>
    <w:rsid w:val="008205B6"/>
    <w:rsid w:val="00820969"/>
    <w:rsid w:val="00821622"/>
    <w:rsid w:val="008217E8"/>
    <w:rsid w:val="0082184B"/>
    <w:rsid w:val="00821B30"/>
    <w:rsid w:val="0082203E"/>
    <w:rsid w:val="008223F1"/>
    <w:rsid w:val="0082252D"/>
    <w:rsid w:val="008226E1"/>
    <w:rsid w:val="008228A3"/>
    <w:rsid w:val="0082312C"/>
    <w:rsid w:val="00823211"/>
    <w:rsid w:val="00823A2B"/>
    <w:rsid w:val="00823BCD"/>
    <w:rsid w:val="00823D9C"/>
    <w:rsid w:val="00823DCC"/>
    <w:rsid w:val="00823F18"/>
    <w:rsid w:val="0082411E"/>
    <w:rsid w:val="00824AFE"/>
    <w:rsid w:val="00825316"/>
    <w:rsid w:val="00825595"/>
    <w:rsid w:val="00826283"/>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131"/>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757"/>
    <w:rsid w:val="008371D7"/>
    <w:rsid w:val="008372E4"/>
    <w:rsid w:val="00837769"/>
    <w:rsid w:val="00837B3E"/>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741"/>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4EDE"/>
    <w:rsid w:val="008450BC"/>
    <w:rsid w:val="0084511E"/>
    <w:rsid w:val="0084512C"/>
    <w:rsid w:val="0084545C"/>
    <w:rsid w:val="0084546C"/>
    <w:rsid w:val="00845602"/>
    <w:rsid w:val="00845B0C"/>
    <w:rsid w:val="00845B4D"/>
    <w:rsid w:val="00845BD8"/>
    <w:rsid w:val="008465B9"/>
    <w:rsid w:val="0084660D"/>
    <w:rsid w:val="00846BD9"/>
    <w:rsid w:val="00847410"/>
    <w:rsid w:val="0084749E"/>
    <w:rsid w:val="008474D9"/>
    <w:rsid w:val="00847913"/>
    <w:rsid w:val="00847CB9"/>
    <w:rsid w:val="00847F25"/>
    <w:rsid w:val="00847F50"/>
    <w:rsid w:val="008502DA"/>
    <w:rsid w:val="00850566"/>
    <w:rsid w:val="00850998"/>
    <w:rsid w:val="00850C41"/>
    <w:rsid w:val="00850F67"/>
    <w:rsid w:val="00851185"/>
    <w:rsid w:val="0085131B"/>
    <w:rsid w:val="00851A6D"/>
    <w:rsid w:val="00851B13"/>
    <w:rsid w:val="00851B16"/>
    <w:rsid w:val="008528CB"/>
    <w:rsid w:val="00852B9F"/>
    <w:rsid w:val="0085316E"/>
    <w:rsid w:val="0085349B"/>
    <w:rsid w:val="0085392E"/>
    <w:rsid w:val="00854C68"/>
    <w:rsid w:val="00855AF6"/>
    <w:rsid w:val="00855DB8"/>
    <w:rsid w:val="00856145"/>
    <w:rsid w:val="008561A6"/>
    <w:rsid w:val="008563D7"/>
    <w:rsid w:val="00856411"/>
    <w:rsid w:val="008567AD"/>
    <w:rsid w:val="008569BD"/>
    <w:rsid w:val="00856CCB"/>
    <w:rsid w:val="00856D9A"/>
    <w:rsid w:val="00857092"/>
    <w:rsid w:val="0085731B"/>
    <w:rsid w:val="008573A2"/>
    <w:rsid w:val="00857696"/>
    <w:rsid w:val="00857968"/>
    <w:rsid w:val="00857A7F"/>
    <w:rsid w:val="00857D01"/>
    <w:rsid w:val="00857EF9"/>
    <w:rsid w:val="00860861"/>
    <w:rsid w:val="00860B68"/>
    <w:rsid w:val="0086117F"/>
    <w:rsid w:val="008611CD"/>
    <w:rsid w:val="0086131C"/>
    <w:rsid w:val="00861508"/>
    <w:rsid w:val="0086199A"/>
    <w:rsid w:val="00861C9E"/>
    <w:rsid w:val="00862170"/>
    <w:rsid w:val="00862609"/>
    <w:rsid w:val="008627E1"/>
    <w:rsid w:val="00862CA3"/>
    <w:rsid w:val="00862F19"/>
    <w:rsid w:val="0086303F"/>
    <w:rsid w:val="00863044"/>
    <w:rsid w:val="008630D3"/>
    <w:rsid w:val="008632A5"/>
    <w:rsid w:val="0086413B"/>
    <w:rsid w:val="0086479A"/>
    <w:rsid w:val="008647F3"/>
    <w:rsid w:val="00864C85"/>
    <w:rsid w:val="00864F29"/>
    <w:rsid w:val="008652AE"/>
    <w:rsid w:val="008654C3"/>
    <w:rsid w:val="00865726"/>
    <w:rsid w:val="00865AA0"/>
    <w:rsid w:val="00865B0E"/>
    <w:rsid w:val="00865B8B"/>
    <w:rsid w:val="00865FA3"/>
    <w:rsid w:val="008664D3"/>
    <w:rsid w:val="0086662A"/>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299"/>
    <w:rsid w:val="0087342D"/>
    <w:rsid w:val="00873829"/>
    <w:rsid w:val="00873A46"/>
    <w:rsid w:val="00873CAB"/>
    <w:rsid w:val="00873F2E"/>
    <w:rsid w:val="008740B0"/>
    <w:rsid w:val="00874186"/>
    <w:rsid w:val="0087433F"/>
    <w:rsid w:val="008743DE"/>
    <w:rsid w:val="0087446D"/>
    <w:rsid w:val="008746DE"/>
    <w:rsid w:val="008748E6"/>
    <w:rsid w:val="008749FA"/>
    <w:rsid w:val="00875017"/>
    <w:rsid w:val="008750E6"/>
    <w:rsid w:val="008751E6"/>
    <w:rsid w:val="0087570A"/>
    <w:rsid w:val="00875A80"/>
    <w:rsid w:val="00875D58"/>
    <w:rsid w:val="00875DA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7B2"/>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A9A"/>
    <w:rsid w:val="00884B69"/>
    <w:rsid w:val="00884B75"/>
    <w:rsid w:val="00884D23"/>
    <w:rsid w:val="00884FC9"/>
    <w:rsid w:val="00885074"/>
    <w:rsid w:val="00885261"/>
    <w:rsid w:val="00885431"/>
    <w:rsid w:val="00885527"/>
    <w:rsid w:val="008859EB"/>
    <w:rsid w:val="00885BB6"/>
    <w:rsid w:val="00885D86"/>
    <w:rsid w:val="008861F5"/>
    <w:rsid w:val="00886330"/>
    <w:rsid w:val="0088683C"/>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282"/>
    <w:rsid w:val="00892372"/>
    <w:rsid w:val="00892788"/>
    <w:rsid w:val="008927E0"/>
    <w:rsid w:val="00892962"/>
    <w:rsid w:val="00892C3E"/>
    <w:rsid w:val="00892F75"/>
    <w:rsid w:val="00892FAB"/>
    <w:rsid w:val="0089355D"/>
    <w:rsid w:val="00893D18"/>
    <w:rsid w:val="00893E55"/>
    <w:rsid w:val="00893E9F"/>
    <w:rsid w:val="00893F76"/>
    <w:rsid w:val="008944CE"/>
    <w:rsid w:val="00894802"/>
    <w:rsid w:val="00894B53"/>
    <w:rsid w:val="00894F76"/>
    <w:rsid w:val="0089534A"/>
    <w:rsid w:val="008954A5"/>
    <w:rsid w:val="0089569A"/>
    <w:rsid w:val="008957DD"/>
    <w:rsid w:val="00895C01"/>
    <w:rsid w:val="00895CD6"/>
    <w:rsid w:val="00895D50"/>
    <w:rsid w:val="00895D57"/>
    <w:rsid w:val="00895D69"/>
    <w:rsid w:val="00895E31"/>
    <w:rsid w:val="00896D06"/>
    <w:rsid w:val="00896F84"/>
    <w:rsid w:val="00897033"/>
    <w:rsid w:val="00897240"/>
    <w:rsid w:val="00897294"/>
    <w:rsid w:val="00897D1E"/>
    <w:rsid w:val="008A03DD"/>
    <w:rsid w:val="008A0A90"/>
    <w:rsid w:val="008A0C71"/>
    <w:rsid w:val="008A0EFD"/>
    <w:rsid w:val="008A1DB9"/>
    <w:rsid w:val="008A21B6"/>
    <w:rsid w:val="008A269F"/>
    <w:rsid w:val="008A297A"/>
    <w:rsid w:val="008A2FBA"/>
    <w:rsid w:val="008A32F7"/>
    <w:rsid w:val="008A3493"/>
    <w:rsid w:val="008A35E8"/>
    <w:rsid w:val="008A3614"/>
    <w:rsid w:val="008A39A7"/>
    <w:rsid w:val="008A3B1C"/>
    <w:rsid w:val="008A4040"/>
    <w:rsid w:val="008A494F"/>
    <w:rsid w:val="008A49D2"/>
    <w:rsid w:val="008A4B2C"/>
    <w:rsid w:val="008A4C0E"/>
    <w:rsid w:val="008A4D18"/>
    <w:rsid w:val="008A4FD7"/>
    <w:rsid w:val="008A5102"/>
    <w:rsid w:val="008A5A0E"/>
    <w:rsid w:val="008A5ACF"/>
    <w:rsid w:val="008A6079"/>
    <w:rsid w:val="008A6219"/>
    <w:rsid w:val="008A62A8"/>
    <w:rsid w:val="008A6369"/>
    <w:rsid w:val="008A6731"/>
    <w:rsid w:val="008A6DE9"/>
    <w:rsid w:val="008A7457"/>
    <w:rsid w:val="008A750F"/>
    <w:rsid w:val="008A7923"/>
    <w:rsid w:val="008A797F"/>
    <w:rsid w:val="008A7BF8"/>
    <w:rsid w:val="008A7C05"/>
    <w:rsid w:val="008A7DBB"/>
    <w:rsid w:val="008B034A"/>
    <w:rsid w:val="008B035A"/>
    <w:rsid w:val="008B0654"/>
    <w:rsid w:val="008B0782"/>
    <w:rsid w:val="008B09EE"/>
    <w:rsid w:val="008B18CE"/>
    <w:rsid w:val="008B1920"/>
    <w:rsid w:val="008B1B90"/>
    <w:rsid w:val="008B1D8B"/>
    <w:rsid w:val="008B20B2"/>
    <w:rsid w:val="008B2328"/>
    <w:rsid w:val="008B269F"/>
    <w:rsid w:val="008B37FF"/>
    <w:rsid w:val="008B397D"/>
    <w:rsid w:val="008B3B1C"/>
    <w:rsid w:val="008B3BEB"/>
    <w:rsid w:val="008B51B6"/>
    <w:rsid w:val="008B56A0"/>
    <w:rsid w:val="008B5BC4"/>
    <w:rsid w:val="008B5BE7"/>
    <w:rsid w:val="008B6211"/>
    <w:rsid w:val="008B62F4"/>
    <w:rsid w:val="008B64CE"/>
    <w:rsid w:val="008B6BE5"/>
    <w:rsid w:val="008B6D0E"/>
    <w:rsid w:val="008B70FE"/>
    <w:rsid w:val="008B7656"/>
    <w:rsid w:val="008B7763"/>
    <w:rsid w:val="008C01D6"/>
    <w:rsid w:val="008C02CC"/>
    <w:rsid w:val="008C03FD"/>
    <w:rsid w:val="008C05F3"/>
    <w:rsid w:val="008C088B"/>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9D6"/>
    <w:rsid w:val="008C2A88"/>
    <w:rsid w:val="008C2CBA"/>
    <w:rsid w:val="008C2D29"/>
    <w:rsid w:val="008C3194"/>
    <w:rsid w:val="008C3279"/>
    <w:rsid w:val="008C330B"/>
    <w:rsid w:val="008C3FF6"/>
    <w:rsid w:val="008C44BE"/>
    <w:rsid w:val="008C4839"/>
    <w:rsid w:val="008C516E"/>
    <w:rsid w:val="008C53C3"/>
    <w:rsid w:val="008C5FAD"/>
    <w:rsid w:val="008C6058"/>
    <w:rsid w:val="008C6250"/>
    <w:rsid w:val="008C65CD"/>
    <w:rsid w:val="008C6CE1"/>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297"/>
    <w:rsid w:val="008D13D7"/>
    <w:rsid w:val="008D1B51"/>
    <w:rsid w:val="008D1DEC"/>
    <w:rsid w:val="008D24C1"/>
    <w:rsid w:val="008D276E"/>
    <w:rsid w:val="008D2F11"/>
    <w:rsid w:val="008D3CAF"/>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02F"/>
    <w:rsid w:val="008E01AC"/>
    <w:rsid w:val="008E0421"/>
    <w:rsid w:val="008E0555"/>
    <w:rsid w:val="008E0591"/>
    <w:rsid w:val="008E060A"/>
    <w:rsid w:val="008E06B2"/>
    <w:rsid w:val="008E06E6"/>
    <w:rsid w:val="008E074A"/>
    <w:rsid w:val="008E0752"/>
    <w:rsid w:val="008E0C66"/>
    <w:rsid w:val="008E0F58"/>
    <w:rsid w:val="008E0FCE"/>
    <w:rsid w:val="008E1045"/>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23B"/>
    <w:rsid w:val="008E6663"/>
    <w:rsid w:val="008E67A1"/>
    <w:rsid w:val="008E67E9"/>
    <w:rsid w:val="008E6A1E"/>
    <w:rsid w:val="008E6BFF"/>
    <w:rsid w:val="008E6C57"/>
    <w:rsid w:val="008E6CB7"/>
    <w:rsid w:val="008E6D19"/>
    <w:rsid w:val="008E7227"/>
    <w:rsid w:val="008E72C3"/>
    <w:rsid w:val="008E7655"/>
    <w:rsid w:val="008E793F"/>
    <w:rsid w:val="008E7DFA"/>
    <w:rsid w:val="008E7E44"/>
    <w:rsid w:val="008E7FEB"/>
    <w:rsid w:val="008F0367"/>
    <w:rsid w:val="008F04EC"/>
    <w:rsid w:val="008F0902"/>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541"/>
    <w:rsid w:val="008F477F"/>
    <w:rsid w:val="008F486A"/>
    <w:rsid w:val="008F499A"/>
    <w:rsid w:val="008F5605"/>
    <w:rsid w:val="008F563E"/>
    <w:rsid w:val="008F56AF"/>
    <w:rsid w:val="008F591D"/>
    <w:rsid w:val="008F5938"/>
    <w:rsid w:val="008F5E9E"/>
    <w:rsid w:val="008F5ED5"/>
    <w:rsid w:val="008F67E8"/>
    <w:rsid w:val="008F694A"/>
    <w:rsid w:val="008F6EB7"/>
    <w:rsid w:val="008F77CF"/>
    <w:rsid w:val="008F7900"/>
    <w:rsid w:val="008F7BD0"/>
    <w:rsid w:val="0090008F"/>
    <w:rsid w:val="009003C0"/>
    <w:rsid w:val="0090065D"/>
    <w:rsid w:val="009009E6"/>
    <w:rsid w:val="00901084"/>
    <w:rsid w:val="00901480"/>
    <w:rsid w:val="0090159B"/>
    <w:rsid w:val="00901948"/>
    <w:rsid w:val="00901AA7"/>
    <w:rsid w:val="00902391"/>
    <w:rsid w:val="009025E9"/>
    <w:rsid w:val="009026D9"/>
    <w:rsid w:val="009028E5"/>
    <w:rsid w:val="009029DA"/>
    <w:rsid w:val="00902A77"/>
    <w:rsid w:val="009036BF"/>
    <w:rsid w:val="00903A52"/>
    <w:rsid w:val="009040E6"/>
    <w:rsid w:val="00904240"/>
    <w:rsid w:val="00904304"/>
    <w:rsid w:val="009044C2"/>
    <w:rsid w:val="009049D9"/>
    <w:rsid w:val="00904D2F"/>
    <w:rsid w:val="00905060"/>
    <w:rsid w:val="0090561D"/>
    <w:rsid w:val="009057CA"/>
    <w:rsid w:val="0090580C"/>
    <w:rsid w:val="00905907"/>
    <w:rsid w:val="00905CEC"/>
    <w:rsid w:val="00905E16"/>
    <w:rsid w:val="009060E6"/>
    <w:rsid w:val="00906C20"/>
    <w:rsid w:val="00906E3C"/>
    <w:rsid w:val="009070A7"/>
    <w:rsid w:val="009071FC"/>
    <w:rsid w:val="00907271"/>
    <w:rsid w:val="00907479"/>
    <w:rsid w:val="00907481"/>
    <w:rsid w:val="00907520"/>
    <w:rsid w:val="00907CF1"/>
    <w:rsid w:val="00907E58"/>
    <w:rsid w:val="00910452"/>
    <w:rsid w:val="00910611"/>
    <w:rsid w:val="00910833"/>
    <w:rsid w:val="00910CD7"/>
    <w:rsid w:val="00910D61"/>
    <w:rsid w:val="00911508"/>
    <w:rsid w:val="00911856"/>
    <w:rsid w:val="009118F9"/>
    <w:rsid w:val="00911B95"/>
    <w:rsid w:val="00911ECB"/>
    <w:rsid w:val="009122B7"/>
    <w:rsid w:val="0091256D"/>
    <w:rsid w:val="00912B42"/>
    <w:rsid w:val="00912DA6"/>
    <w:rsid w:val="009131A9"/>
    <w:rsid w:val="0091353C"/>
    <w:rsid w:val="00913977"/>
    <w:rsid w:val="0091412B"/>
    <w:rsid w:val="009141D1"/>
    <w:rsid w:val="00914203"/>
    <w:rsid w:val="00914C87"/>
    <w:rsid w:val="00915AB6"/>
    <w:rsid w:val="0091623E"/>
    <w:rsid w:val="009163F2"/>
    <w:rsid w:val="00916719"/>
    <w:rsid w:val="0091697A"/>
    <w:rsid w:val="00916D91"/>
    <w:rsid w:val="00916E8F"/>
    <w:rsid w:val="00916EF9"/>
    <w:rsid w:val="009171B2"/>
    <w:rsid w:val="00917445"/>
    <w:rsid w:val="00917560"/>
    <w:rsid w:val="0091760A"/>
    <w:rsid w:val="00917BD5"/>
    <w:rsid w:val="00917F6F"/>
    <w:rsid w:val="00917F72"/>
    <w:rsid w:val="00917F74"/>
    <w:rsid w:val="00920663"/>
    <w:rsid w:val="009207BC"/>
    <w:rsid w:val="00920949"/>
    <w:rsid w:val="009209DD"/>
    <w:rsid w:val="00921108"/>
    <w:rsid w:val="009214DE"/>
    <w:rsid w:val="00921891"/>
    <w:rsid w:val="0092208E"/>
    <w:rsid w:val="009228DD"/>
    <w:rsid w:val="00922F1C"/>
    <w:rsid w:val="00922F9D"/>
    <w:rsid w:val="00923140"/>
    <w:rsid w:val="009231C2"/>
    <w:rsid w:val="0092354C"/>
    <w:rsid w:val="00924472"/>
    <w:rsid w:val="009250B2"/>
    <w:rsid w:val="009250EC"/>
    <w:rsid w:val="0092560D"/>
    <w:rsid w:val="00925644"/>
    <w:rsid w:val="0092573C"/>
    <w:rsid w:val="00925826"/>
    <w:rsid w:val="00925867"/>
    <w:rsid w:val="00925DD5"/>
    <w:rsid w:val="0092649C"/>
    <w:rsid w:val="00926A44"/>
    <w:rsid w:val="00926CAE"/>
    <w:rsid w:val="00926CB3"/>
    <w:rsid w:val="00926E5C"/>
    <w:rsid w:val="00927206"/>
    <w:rsid w:val="009273F9"/>
    <w:rsid w:val="00927442"/>
    <w:rsid w:val="0092752C"/>
    <w:rsid w:val="00927F34"/>
    <w:rsid w:val="00930216"/>
    <w:rsid w:val="00930A51"/>
    <w:rsid w:val="00930F62"/>
    <w:rsid w:val="009312E2"/>
    <w:rsid w:val="009314FF"/>
    <w:rsid w:val="009315DD"/>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6E9E"/>
    <w:rsid w:val="00947097"/>
    <w:rsid w:val="00947141"/>
    <w:rsid w:val="00947492"/>
    <w:rsid w:val="00947E32"/>
    <w:rsid w:val="00947E48"/>
    <w:rsid w:val="009509FD"/>
    <w:rsid w:val="00950B27"/>
    <w:rsid w:val="00950CE7"/>
    <w:rsid w:val="00951069"/>
    <w:rsid w:val="009513DD"/>
    <w:rsid w:val="00951562"/>
    <w:rsid w:val="00951AE4"/>
    <w:rsid w:val="00951B63"/>
    <w:rsid w:val="00951F34"/>
    <w:rsid w:val="009520EE"/>
    <w:rsid w:val="00952735"/>
    <w:rsid w:val="00952A56"/>
    <w:rsid w:val="00952BB7"/>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114"/>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E56"/>
    <w:rsid w:val="00965F20"/>
    <w:rsid w:val="00966232"/>
    <w:rsid w:val="009664C7"/>
    <w:rsid w:val="0096660A"/>
    <w:rsid w:val="0096668D"/>
    <w:rsid w:val="00966792"/>
    <w:rsid w:val="00966969"/>
    <w:rsid w:val="009674C7"/>
    <w:rsid w:val="0096788F"/>
    <w:rsid w:val="00967DB6"/>
    <w:rsid w:val="0097000C"/>
    <w:rsid w:val="009703C1"/>
    <w:rsid w:val="0097047F"/>
    <w:rsid w:val="009706D9"/>
    <w:rsid w:val="009708EB"/>
    <w:rsid w:val="00970F83"/>
    <w:rsid w:val="009715B2"/>
    <w:rsid w:val="00971DB8"/>
    <w:rsid w:val="00971F45"/>
    <w:rsid w:val="009729FB"/>
    <w:rsid w:val="00972C8C"/>
    <w:rsid w:val="009732AB"/>
    <w:rsid w:val="0097352F"/>
    <w:rsid w:val="00973B4C"/>
    <w:rsid w:val="009746BE"/>
    <w:rsid w:val="00974D21"/>
    <w:rsid w:val="00974E0E"/>
    <w:rsid w:val="00975643"/>
    <w:rsid w:val="00975841"/>
    <w:rsid w:val="00975A53"/>
    <w:rsid w:val="00975E19"/>
    <w:rsid w:val="0097639F"/>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542"/>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6BE"/>
    <w:rsid w:val="00985717"/>
    <w:rsid w:val="00985770"/>
    <w:rsid w:val="009857D5"/>
    <w:rsid w:val="00985833"/>
    <w:rsid w:val="00985886"/>
    <w:rsid w:val="009864E2"/>
    <w:rsid w:val="00986B42"/>
    <w:rsid w:val="00986D96"/>
    <w:rsid w:val="00987239"/>
    <w:rsid w:val="009872E2"/>
    <w:rsid w:val="0098744A"/>
    <w:rsid w:val="00987CFA"/>
    <w:rsid w:val="0099046B"/>
    <w:rsid w:val="00990578"/>
    <w:rsid w:val="00990B2B"/>
    <w:rsid w:val="00990FD7"/>
    <w:rsid w:val="009911F0"/>
    <w:rsid w:val="00991377"/>
    <w:rsid w:val="00991D56"/>
    <w:rsid w:val="00992AEB"/>
    <w:rsid w:val="00992ECB"/>
    <w:rsid w:val="0099305B"/>
    <w:rsid w:val="009939D8"/>
    <w:rsid w:val="00993A42"/>
    <w:rsid w:val="00993E62"/>
    <w:rsid w:val="00994276"/>
    <w:rsid w:val="00994282"/>
    <w:rsid w:val="00994642"/>
    <w:rsid w:val="009947D9"/>
    <w:rsid w:val="0099480B"/>
    <w:rsid w:val="00994811"/>
    <w:rsid w:val="009948C9"/>
    <w:rsid w:val="0099494D"/>
    <w:rsid w:val="00994D79"/>
    <w:rsid w:val="00995A6D"/>
    <w:rsid w:val="00995BEE"/>
    <w:rsid w:val="00995DE2"/>
    <w:rsid w:val="00996477"/>
    <w:rsid w:val="009965F7"/>
    <w:rsid w:val="009966DC"/>
    <w:rsid w:val="00996876"/>
    <w:rsid w:val="009970C4"/>
    <w:rsid w:val="009972CE"/>
    <w:rsid w:val="00997342"/>
    <w:rsid w:val="00997360"/>
    <w:rsid w:val="00997386"/>
    <w:rsid w:val="009974F4"/>
    <w:rsid w:val="00997536"/>
    <w:rsid w:val="00997957"/>
    <w:rsid w:val="00997B80"/>
    <w:rsid w:val="00997C92"/>
    <w:rsid w:val="00997CC6"/>
    <w:rsid w:val="009A02AC"/>
    <w:rsid w:val="009A036B"/>
    <w:rsid w:val="009A0411"/>
    <w:rsid w:val="009A0427"/>
    <w:rsid w:val="009A049D"/>
    <w:rsid w:val="009A067B"/>
    <w:rsid w:val="009A0733"/>
    <w:rsid w:val="009A0A28"/>
    <w:rsid w:val="009A0D08"/>
    <w:rsid w:val="009A0F32"/>
    <w:rsid w:val="009A142F"/>
    <w:rsid w:val="009A1564"/>
    <w:rsid w:val="009A1C1A"/>
    <w:rsid w:val="009A2267"/>
    <w:rsid w:val="009A262C"/>
    <w:rsid w:val="009A2A9D"/>
    <w:rsid w:val="009A2D35"/>
    <w:rsid w:val="009A38D8"/>
    <w:rsid w:val="009A39E3"/>
    <w:rsid w:val="009A3B41"/>
    <w:rsid w:val="009A3E36"/>
    <w:rsid w:val="009A3F93"/>
    <w:rsid w:val="009A3FE6"/>
    <w:rsid w:val="009A4536"/>
    <w:rsid w:val="009A4994"/>
    <w:rsid w:val="009A4E42"/>
    <w:rsid w:val="009A4F40"/>
    <w:rsid w:val="009A4F7F"/>
    <w:rsid w:val="009A5101"/>
    <w:rsid w:val="009A519B"/>
    <w:rsid w:val="009A538D"/>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15C"/>
    <w:rsid w:val="009B2875"/>
    <w:rsid w:val="009B2934"/>
    <w:rsid w:val="009B2B55"/>
    <w:rsid w:val="009B2D68"/>
    <w:rsid w:val="009B2DC1"/>
    <w:rsid w:val="009B2DF3"/>
    <w:rsid w:val="009B3247"/>
    <w:rsid w:val="009B33C0"/>
    <w:rsid w:val="009B3AB3"/>
    <w:rsid w:val="009B4124"/>
    <w:rsid w:val="009B4A97"/>
    <w:rsid w:val="009B4CB4"/>
    <w:rsid w:val="009B51C7"/>
    <w:rsid w:val="009B5328"/>
    <w:rsid w:val="009B5413"/>
    <w:rsid w:val="009B5931"/>
    <w:rsid w:val="009B5987"/>
    <w:rsid w:val="009B5B5A"/>
    <w:rsid w:val="009B5D63"/>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A62"/>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379"/>
    <w:rsid w:val="009C65A0"/>
    <w:rsid w:val="009C6A3A"/>
    <w:rsid w:val="009C6A3F"/>
    <w:rsid w:val="009C7126"/>
    <w:rsid w:val="009C7535"/>
    <w:rsid w:val="009C76FD"/>
    <w:rsid w:val="009C78A6"/>
    <w:rsid w:val="009C78B1"/>
    <w:rsid w:val="009C7E0A"/>
    <w:rsid w:val="009C7F8D"/>
    <w:rsid w:val="009D01BF"/>
    <w:rsid w:val="009D04BF"/>
    <w:rsid w:val="009D0993"/>
    <w:rsid w:val="009D0A3B"/>
    <w:rsid w:val="009D0A75"/>
    <w:rsid w:val="009D111E"/>
    <w:rsid w:val="009D1845"/>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C88"/>
    <w:rsid w:val="009D5F63"/>
    <w:rsid w:val="009D66E2"/>
    <w:rsid w:val="009D6BA1"/>
    <w:rsid w:val="009D6BAE"/>
    <w:rsid w:val="009D75B8"/>
    <w:rsid w:val="009D7810"/>
    <w:rsid w:val="009D7B13"/>
    <w:rsid w:val="009D7B83"/>
    <w:rsid w:val="009D7C49"/>
    <w:rsid w:val="009D7C58"/>
    <w:rsid w:val="009D7D56"/>
    <w:rsid w:val="009D7EA5"/>
    <w:rsid w:val="009D7F26"/>
    <w:rsid w:val="009E0934"/>
    <w:rsid w:val="009E0B6A"/>
    <w:rsid w:val="009E0BE6"/>
    <w:rsid w:val="009E0C96"/>
    <w:rsid w:val="009E1BC2"/>
    <w:rsid w:val="009E222A"/>
    <w:rsid w:val="009E2269"/>
    <w:rsid w:val="009E2728"/>
    <w:rsid w:val="009E28DB"/>
    <w:rsid w:val="009E2E53"/>
    <w:rsid w:val="009E2F82"/>
    <w:rsid w:val="009E3502"/>
    <w:rsid w:val="009E37C4"/>
    <w:rsid w:val="009E3807"/>
    <w:rsid w:val="009E3AF5"/>
    <w:rsid w:val="009E403B"/>
    <w:rsid w:val="009E4297"/>
    <w:rsid w:val="009E447D"/>
    <w:rsid w:val="009E471F"/>
    <w:rsid w:val="009E478A"/>
    <w:rsid w:val="009E47E7"/>
    <w:rsid w:val="009E4A53"/>
    <w:rsid w:val="009E4B3D"/>
    <w:rsid w:val="009E5085"/>
    <w:rsid w:val="009E5125"/>
    <w:rsid w:val="009E51EA"/>
    <w:rsid w:val="009E56A5"/>
    <w:rsid w:val="009E5B6D"/>
    <w:rsid w:val="009E63F5"/>
    <w:rsid w:val="009E66EC"/>
    <w:rsid w:val="009E6951"/>
    <w:rsid w:val="009E6D81"/>
    <w:rsid w:val="009E6E84"/>
    <w:rsid w:val="009E7484"/>
    <w:rsid w:val="009E75C1"/>
    <w:rsid w:val="009E775E"/>
    <w:rsid w:val="009E7B24"/>
    <w:rsid w:val="009F0021"/>
    <w:rsid w:val="009F043F"/>
    <w:rsid w:val="009F0853"/>
    <w:rsid w:val="009F0961"/>
    <w:rsid w:val="009F13EE"/>
    <w:rsid w:val="009F15B7"/>
    <w:rsid w:val="009F1763"/>
    <w:rsid w:val="009F1A8A"/>
    <w:rsid w:val="009F204D"/>
    <w:rsid w:val="009F2287"/>
    <w:rsid w:val="009F2391"/>
    <w:rsid w:val="009F26B9"/>
    <w:rsid w:val="009F2B52"/>
    <w:rsid w:val="009F30DB"/>
    <w:rsid w:val="009F36C9"/>
    <w:rsid w:val="009F39CC"/>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CCE"/>
    <w:rsid w:val="009F6FEF"/>
    <w:rsid w:val="009F7768"/>
    <w:rsid w:val="009F7C88"/>
    <w:rsid w:val="009F7FD2"/>
    <w:rsid w:val="00A001F6"/>
    <w:rsid w:val="00A004F0"/>
    <w:rsid w:val="00A0054B"/>
    <w:rsid w:val="00A005AF"/>
    <w:rsid w:val="00A009FA"/>
    <w:rsid w:val="00A00AE9"/>
    <w:rsid w:val="00A00B7F"/>
    <w:rsid w:val="00A00CE6"/>
    <w:rsid w:val="00A01552"/>
    <w:rsid w:val="00A01594"/>
    <w:rsid w:val="00A01654"/>
    <w:rsid w:val="00A01658"/>
    <w:rsid w:val="00A0170C"/>
    <w:rsid w:val="00A019F4"/>
    <w:rsid w:val="00A01A77"/>
    <w:rsid w:val="00A02069"/>
    <w:rsid w:val="00A023AB"/>
    <w:rsid w:val="00A0243C"/>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0D6A"/>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169"/>
    <w:rsid w:val="00A1365B"/>
    <w:rsid w:val="00A13E05"/>
    <w:rsid w:val="00A13E67"/>
    <w:rsid w:val="00A13FDC"/>
    <w:rsid w:val="00A1407A"/>
    <w:rsid w:val="00A14448"/>
    <w:rsid w:val="00A146B9"/>
    <w:rsid w:val="00A14705"/>
    <w:rsid w:val="00A14792"/>
    <w:rsid w:val="00A14BAF"/>
    <w:rsid w:val="00A14E12"/>
    <w:rsid w:val="00A14E83"/>
    <w:rsid w:val="00A155CA"/>
    <w:rsid w:val="00A15910"/>
    <w:rsid w:val="00A1595F"/>
    <w:rsid w:val="00A15BFE"/>
    <w:rsid w:val="00A16331"/>
    <w:rsid w:val="00A16415"/>
    <w:rsid w:val="00A171F7"/>
    <w:rsid w:val="00A17797"/>
    <w:rsid w:val="00A17A17"/>
    <w:rsid w:val="00A17BC5"/>
    <w:rsid w:val="00A17CA2"/>
    <w:rsid w:val="00A17F75"/>
    <w:rsid w:val="00A2031A"/>
    <w:rsid w:val="00A203F3"/>
    <w:rsid w:val="00A2121E"/>
    <w:rsid w:val="00A212C3"/>
    <w:rsid w:val="00A21AB0"/>
    <w:rsid w:val="00A21EF6"/>
    <w:rsid w:val="00A2268E"/>
    <w:rsid w:val="00A226BC"/>
    <w:rsid w:val="00A22735"/>
    <w:rsid w:val="00A228CD"/>
    <w:rsid w:val="00A22A81"/>
    <w:rsid w:val="00A23221"/>
    <w:rsid w:val="00A2359B"/>
    <w:rsid w:val="00A2389A"/>
    <w:rsid w:val="00A23BAD"/>
    <w:rsid w:val="00A23D48"/>
    <w:rsid w:val="00A2400F"/>
    <w:rsid w:val="00A2435B"/>
    <w:rsid w:val="00A24856"/>
    <w:rsid w:val="00A248F8"/>
    <w:rsid w:val="00A24C7A"/>
    <w:rsid w:val="00A24EEF"/>
    <w:rsid w:val="00A25AE8"/>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3FD4"/>
    <w:rsid w:val="00A34010"/>
    <w:rsid w:val="00A3429F"/>
    <w:rsid w:val="00A3455B"/>
    <w:rsid w:val="00A34668"/>
    <w:rsid w:val="00A348FF"/>
    <w:rsid w:val="00A34BBD"/>
    <w:rsid w:val="00A34DE7"/>
    <w:rsid w:val="00A34EFF"/>
    <w:rsid w:val="00A35520"/>
    <w:rsid w:val="00A35737"/>
    <w:rsid w:val="00A36148"/>
    <w:rsid w:val="00A361E8"/>
    <w:rsid w:val="00A3640F"/>
    <w:rsid w:val="00A36CBE"/>
    <w:rsid w:val="00A36E38"/>
    <w:rsid w:val="00A36EF2"/>
    <w:rsid w:val="00A3744D"/>
    <w:rsid w:val="00A3758F"/>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930"/>
    <w:rsid w:val="00A42DDC"/>
    <w:rsid w:val="00A42E1D"/>
    <w:rsid w:val="00A43212"/>
    <w:rsid w:val="00A432EA"/>
    <w:rsid w:val="00A43558"/>
    <w:rsid w:val="00A43838"/>
    <w:rsid w:val="00A43ABA"/>
    <w:rsid w:val="00A43B30"/>
    <w:rsid w:val="00A4407D"/>
    <w:rsid w:val="00A444ED"/>
    <w:rsid w:val="00A448E4"/>
    <w:rsid w:val="00A448EC"/>
    <w:rsid w:val="00A44993"/>
    <w:rsid w:val="00A44A15"/>
    <w:rsid w:val="00A44B4A"/>
    <w:rsid w:val="00A44BC0"/>
    <w:rsid w:val="00A44F13"/>
    <w:rsid w:val="00A44F58"/>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A92"/>
    <w:rsid w:val="00A50CE7"/>
    <w:rsid w:val="00A50E1B"/>
    <w:rsid w:val="00A51422"/>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CCA"/>
    <w:rsid w:val="00A53DCA"/>
    <w:rsid w:val="00A53E8A"/>
    <w:rsid w:val="00A54523"/>
    <w:rsid w:val="00A54664"/>
    <w:rsid w:val="00A5499A"/>
    <w:rsid w:val="00A549C9"/>
    <w:rsid w:val="00A54B2C"/>
    <w:rsid w:val="00A54E7B"/>
    <w:rsid w:val="00A54FCA"/>
    <w:rsid w:val="00A550E7"/>
    <w:rsid w:val="00A55534"/>
    <w:rsid w:val="00A5572E"/>
    <w:rsid w:val="00A557D0"/>
    <w:rsid w:val="00A55BA3"/>
    <w:rsid w:val="00A55CC1"/>
    <w:rsid w:val="00A55DB5"/>
    <w:rsid w:val="00A55FB0"/>
    <w:rsid w:val="00A562BD"/>
    <w:rsid w:val="00A56611"/>
    <w:rsid w:val="00A56A41"/>
    <w:rsid w:val="00A56DBA"/>
    <w:rsid w:val="00A57E94"/>
    <w:rsid w:val="00A57FF7"/>
    <w:rsid w:val="00A60388"/>
    <w:rsid w:val="00A60857"/>
    <w:rsid w:val="00A60957"/>
    <w:rsid w:val="00A60B6E"/>
    <w:rsid w:val="00A613BC"/>
    <w:rsid w:val="00A617E9"/>
    <w:rsid w:val="00A62214"/>
    <w:rsid w:val="00A628D4"/>
    <w:rsid w:val="00A62A3E"/>
    <w:rsid w:val="00A62B97"/>
    <w:rsid w:val="00A62C6C"/>
    <w:rsid w:val="00A631D8"/>
    <w:rsid w:val="00A638A8"/>
    <w:rsid w:val="00A63B35"/>
    <w:rsid w:val="00A63E70"/>
    <w:rsid w:val="00A63F73"/>
    <w:rsid w:val="00A640CC"/>
    <w:rsid w:val="00A644F3"/>
    <w:rsid w:val="00A646A2"/>
    <w:rsid w:val="00A64B26"/>
    <w:rsid w:val="00A65492"/>
    <w:rsid w:val="00A658CE"/>
    <w:rsid w:val="00A65AED"/>
    <w:rsid w:val="00A6608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063"/>
    <w:rsid w:val="00A75431"/>
    <w:rsid w:val="00A757E0"/>
    <w:rsid w:val="00A75C9E"/>
    <w:rsid w:val="00A75ECE"/>
    <w:rsid w:val="00A761C3"/>
    <w:rsid w:val="00A764AC"/>
    <w:rsid w:val="00A76558"/>
    <w:rsid w:val="00A765DF"/>
    <w:rsid w:val="00A76DA0"/>
    <w:rsid w:val="00A77222"/>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FE"/>
    <w:rsid w:val="00A84F47"/>
    <w:rsid w:val="00A85339"/>
    <w:rsid w:val="00A85764"/>
    <w:rsid w:val="00A85CE6"/>
    <w:rsid w:val="00A86069"/>
    <w:rsid w:val="00A8649D"/>
    <w:rsid w:val="00A869EA"/>
    <w:rsid w:val="00A86C61"/>
    <w:rsid w:val="00A87415"/>
    <w:rsid w:val="00A876D8"/>
    <w:rsid w:val="00A877AD"/>
    <w:rsid w:val="00A87B07"/>
    <w:rsid w:val="00A87B4D"/>
    <w:rsid w:val="00A87B77"/>
    <w:rsid w:val="00A900FD"/>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4"/>
    <w:rsid w:val="00A93CCB"/>
    <w:rsid w:val="00A93FA2"/>
    <w:rsid w:val="00A94150"/>
    <w:rsid w:val="00A94414"/>
    <w:rsid w:val="00A94621"/>
    <w:rsid w:val="00A9498B"/>
    <w:rsid w:val="00A94C09"/>
    <w:rsid w:val="00A94D54"/>
    <w:rsid w:val="00A95113"/>
    <w:rsid w:val="00A95540"/>
    <w:rsid w:val="00A95851"/>
    <w:rsid w:val="00A958FA"/>
    <w:rsid w:val="00A95B6F"/>
    <w:rsid w:val="00A95D0E"/>
    <w:rsid w:val="00A96694"/>
    <w:rsid w:val="00A96AAC"/>
    <w:rsid w:val="00A96E9F"/>
    <w:rsid w:val="00A97615"/>
    <w:rsid w:val="00A97759"/>
    <w:rsid w:val="00A977CC"/>
    <w:rsid w:val="00A97A34"/>
    <w:rsid w:val="00A97C8C"/>
    <w:rsid w:val="00AA0234"/>
    <w:rsid w:val="00AA02D0"/>
    <w:rsid w:val="00AA09C8"/>
    <w:rsid w:val="00AA0B01"/>
    <w:rsid w:val="00AA0CCF"/>
    <w:rsid w:val="00AA0E4F"/>
    <w:rsid w:val="00AA19D0"/>
    <w:rsid w:val="00AA1C03"/>
    <w:rsid w:val="00AA20D6"/>
    <w:rsid w:val="00AA2154"/>
    <w:rsid w:val="00AA238E"/>
    <w:rsid w:val="00AA2A73"/>
    <w:rsid w:val="00AA2ACC"/>
    <w:rsid w:val="00AA2C7F"/>
    <w:rsid w:val="00AA347A"/>
    <w:rsid w:val="00AA38FF"/>
    <w:rsid w:val="00AA3AC0"/>
    <w:rsid w:val="00AA4960"/>
    <w:rsid w:val="00AA4AF4"/>
    <w:rsid w:val="00AA4B94"/>
    <w:rsid w:val="00AA4D19"/>
    <w:rsid w:val="00AA4D5D"/>
    <w:rsid w:val="00AA4F39"/>
    <w:rsid w:val="00AA4FC9"/>
    <w:rsid w:val="00AA5372"/>
    <w:rsid w:val="00AA5376"/>
    <w:rsid w:val="00AA54B6"/>
    <w:rsid w:val="00AA5EA6"/>
    <w:rsid w:val="00AA631B"/>
    <w:rsid w:val="00AA6941"/>
    <w:rsid w:val="00AA6D3C"/>
    <w:rsid w:val="00AA7470"/>
    <w:rsid w:val="00AA74E6"/>
    <w:rsid w:val="00AA7928"/>
    <w:rsid w:val="00AA7A02"/>
    <w:rsid w:val="00AA7C47"/>
    <w:rsid w:val="00AA7CE3"/>
    <w:rsid w:val="00AA7EFA"/>
    <w:rsid w:val="00AB0FCC"/>
    <w:rsid w:val="00AB11A8"/>
    <w:rsid w:val="00AB12AE"/>
    <w:rsid w:val="00AB185C"/>
    <w:rsid w:val="00AB2157"/>
    <w:rsid w:val="00AB21A2"/>
    <w:rsid w:val="00AB2229"/>
    <w:rsid w:val="00AB2869"/>
    <w:rsid w:val="00AB2EF3"/>
    <w:rsid w:val="00AB2F5E"/>
    <w:rsid w:val="00AB30D5"/>
    <w:rsid w:val="00AB4250"/>
    <w:rsid w:val="00AB4865"/>
    <w:rsid w:val="00AB4C44"/>
    <w:rsid w:val="00AB509D"/>
    <w:rsid w:val="00AB5458"/>
    <w:rsid w:val="00AB54D4"/>
    <w:rsid w:val="00AB56AA"/>
    <w:rsid w:val="00AB5776"/>
    <w:rsid w:val="00AB5C21"/>
    <w:rsid w:val="00AB5D49"/>
    <w:rsid w:val="00AB5E36"/>
    <w:rsid w:val="00AB5E3A"/>
    <w:rsid w:val="00AB60B0"/>
    <w:rsid w:val="00AB6300"/>
    <w:rsid w:val="00AB6A5C"/>
    <w:rsid w:val="00AB6D09"/>
    <w:rsid w:val="00AB6F50"/>
    <w:rsid w:val="00AB758C"/>
    <w:rsid w:val="00AB7A48"/>
    <w:rsid w:val="00AB7ED1"/>
    <w:rsid w:val="00AB7F26"/>
    <w:rsid w:val="00AC0119"/>
    <w:rsid w:val="00AC05C5"/>
    <w:rsid w:val="00AC0750"/>
    <w:rsid w:val="00AC0D3A"/>
    <w:rsid w:val="00AC15D8"/>
    <w:rsid w:val="00AC1834"/>
    <w:rsid w:val="00AC1915"/>
    <w:rsid w:val="00AC1922"/>
    <w:rsid w:val="00AC1BE9"/>
    <w:rsid w:val="00AC1DCD"/>
    <w:rsid w:val="00AC1EDB"/>
    <w:rsid w:val="00AC20FB"/>
    <w:rsid w:val="00AC238C"/>
    <w:rsid w:val="00AC27CE"/>
    <w:rsid w:val="00AC27E5"/>
    <w:rsid w:val="00AC2803"/>
    <w:rsid w:val="00AC3502"/>
    <w:rsid w:val="00AC3C6A"/>
    <w:rsid w:val="00AC3FA9"/>
    <w:rsid w:val="00AC3FAC"/>
    <w:rsid w:val="00AC41B4"/>
    <w:rsid w:val="00AC4B71"/>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8F"/>
    <w:rsid w:val="00AD2CB0"/>
    <w:rsid w:val="00AD2FDC"/>
    <w:rsid w:val="00AD300B"/>
    <w:rsid w:val="00AD32DC"/>
    <w:rsid w:val="00AD34C9"/>
    <w:rsid w:val="00AD413C"/>
    <w:rsid w:val="00AD454B"/>
    <w:rsid w:val="00AD49C2"/>
    <w:rsid w:val="00AD4AA1"/>
    <w:rsid w:val="00AD4E44"/>
    <w:rsid w:val="00AD50F7"/>
    <w:rsid w:val="00AD545D"/>
    <w:rsid w:val="00AD5689"/>
    <w:rsid w:val="00AD583F"/>
    <w:rsid w:val="00AD5A35"/>
    <w:rsid w:val="00AD5C05"/>
    <w:rsid w:val="00AD6204"/>
    <w:rsid w:val="00AD6782"/>
    <w:rsid w:val="00AD6E16"/>
    <w:rsid w:val="00AD733A"/>
    <w:rsid w:val="00AD73E7"/>
    <w:rsid w:val="00AD741B"/>
    <w:rsid w:val="00AD7606"/>
    <w:rsid w:val="00AD7980"/>
    <w:rsid w:val="00AD7B38"/>
    <w:rsid w:val="00AD7FB2"/>
    <w:rsid w:val="00AE0042"/>
    <w:rsid w:val="00AE0274"/>
    <w:rsid w:val="00AE084D"/>
    <w:rsid w:val="00AE093B"/>
    <w:rsid w:val="00AE113D"/>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7B"/>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023"/>
    <w:rsid w:val="00B011A3"/>
    <w:rsid w:val="00B01619"/>
    <w:rsid w:val="00B016C1"/>
    <w:rsid w:val="00B016E4"/>
    <w:rsid w:val="00B017B4"/>
    <w:rsid w:val="00B0183D"/>
    <w:rsid w:val="00B018ED"/>
    <w:rsid w:val="00B01D6F"/>
    <w:rsid w:val="00B022FC"/>
    <w:rsid w:val="00B02333"/>
    <w:rsid w:val="00B02839"/>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3B25"/>
    <w:rsid w:val="00B14036"/>
    <w:rsid w:val="00B141F1"/>
    <w:rsid w:val="00B14A97"/>
    <w:rsid w:val="00B14C1A"/>
    <w:rsid w:val="00B15097"/>
    <w:rsid w:val="00B150E5"/>
    <w:rsid w:val="00B1521D"/>
    <w:rsid w:val="00B15672"/>
    <w:rsid w:val="00B15C71"/>
    <w:rsid w:val="00B15DB1"/>
    <w:rsid w:val="00B16D8E"/>
    <w:rsid w:val="00B17017"/>
    <w:rsid w:val="00B17D65"/>
    <w:rsid w:val="00B17F1B"/>
    <w:rsid w:val="00B203DD"/>
    <w:rsid w:val="00B208AB"/>
    <w:rsid w:val="00B211C2"/>
    <w:rsid w:val="00B2155E"/>
    <w:rsid w:val="00B21C2E"/>
    <w:rsid w:val="00B21E66"/>
    <w:rsid w:val="00B21FD6"/>
    <w:rsid w:val="00B2261A"/>
    <w:rsid w:val="00B22748"/>
    <w:rsid w:val="00B227A3"/>
    <w:rsid w:val="00B229BB"/>
    <w:rsid w:val="00B22B8F"/>
    <w:rsid w:val="00B22CBC"/>
    <w:rsid w:val="00B22E11"/>
    <w:rsid w:val="00B22E69"/>
    <w:rsid w:val="00B232B8"/>
    <w:rsid w:val="00B2353C"/>
    <w:rsid w:val="00B235D8"/>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2B"/>
    <w:rsid w:val="00B27FD9"/>
    <w:rsid w:val="00B302C7"/>
    <w:rsid w:val="00B30499"/>
    <w:rsid w:val="00B30565"/>
    <w:rsid w:val="00B309C5"/>
    <w:rsid w:val="00B30AF2"/>
    <w:rsid w:val="00B311F8"/>
    <w:rsid w:val="00B319DE"/>
    <w:rsid w:val="00B31D3E"/>
    <w:rsid w:val="00B31DDE"/>
    <w:rsid w:val="00B32157"/>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64F"/>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95A"/>
    <w:rsid w:val="00B42ABC"/>
    <w:rsid w:val="00B431A8"/>
    <w:rsid w:val="00B43318"/>
    <w:rsid w:val="00B43396"/>
    <w:rsid w:val="00B433BF"/>
    <w:rsid w:val="00B4380B"/>
    <w:rsid w:val="00B4396E"/>
    <w:rsid w:val="00B43A10"/>
    <w:rsid w:val="00B43B4E"/>
    <w:rsid w:val="00B44090"/>
    <w:rsid w:val="00B446C4"/>
    <w:rsid w:val="00B44F3B"/>
    <w:rsid w:val="00B45042"/>
    <w:rsid w:val="00B45260"/>
    <w:rsid w:val="00B45646"/>
    <w:rsid w:val="00B45E7C"/>
    <w:rsid w:val="00B46279"/>
    <w:rsid w:val="00B46372"/>
    <w:rsid w:val="00B46496"/>
    <w:rsid w:val="00B46634"/>
    <w:rsid w:val="00B46C14"/>
    <w:rsid w:val="00B46FC6"/>
    <w:rsid w:val="00B4714F"/>
    <w:rsid w:val="00B4757E"/>
    <w:rsid w:val="00B47624"/>
    <w:rsid w:val="00B47833"/>
    <w:rsid w:val="00B47903"/>
    <w:rsid w:val="00B47967"/>
    <w:rsid w:val="00B479E9"/>
    <w:rsid w:val="00B47E26"/>
    <w:rsid w:val="00B47ED4"/>
    <w:rsid w:val="00B5019C"/>
    <w:rsid w:val="00B50A63"/>
    <w:rsid w:val="00B51186"/>
    <w:rsid w:val="00B5171E"/>
    <w:rsid w:val="00B519D6"/>
    <w:rsid w:val="00B51ABD"/>
    <w:rsid w:val="00B51C31"/>
    <w:rsid w:val="00B51E0C"/>
    <w:rsid w:val="00B52337"/>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BAB"/>
    <w:rsid w:val="00B56DB6"/>
    <w:rsid w:val="00B56F89"/>
    <w:rsid w:val="00B57477"/>
    <w:rsid w:val="00B574C7"/>
    <w:rsid w:val="00B575FE"/>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88D"/>
    <w:rsid w:val="00B67B1D"/>
    <w:rsid w:val="00B67CD3"/>
    <w:rsid w:val="00B67D96"/>
    <w:rsid w:val="00B67E00"/>
    <w:rsid w:val="00B700D1"/>
    <w:rsid w:val="00B705A0"/>
    <w:rsid w:val="00B70610"/>
    <w:rsid w:val="00B70C23"/>
    <w:rsid w:val="00B70E24"/>
    <w:rsid w:val="00B71843"/>
    <w:rsid w:val="00B719B9"/>
    <w:rsid w:val="00B71D92"/>
    <w:rsid w:val="00B71F9F"/>
    <w:rsid w:val="00B72202"/>
    <w:rsid w:val="00B730ED"/>
    <w:rsid w:val="00B731F0"/>
    <w:rsid w:val="00B73629"/>
    <w:rsid w:val="00B736B5"/>
    <w:rsid w:val="00B73A4B"/>
    <w:rsid w:val="00B73EB8"/>
    <w:rsid w:val="00B74373"/>
    <w:rsid w:val="00B74F07"/>
    <w:rsid w:val="00B750A7"/>
    <w:rsid w:val="00B755E5"/>
    <w:rsid w:val="00B7595E"/>
    <w:rsid w:val="00B75A21"/>
    <w:rsid w:val="00B76173"/>
    <w:rsid w:val="00B7662D"/>
    <w:rsid w:val="00B767C4"/>
    <w:rsid w:val="00B76977"/>
    <w:rsid w:val="00B769B3"/>
    <w:rsid w:val="00B7718E"/>
    <w:rsid w:val="00B7731A"/>
    <w:rsid w:val="00B7779F"/>
    <w:rsid w:val="00B777DC"/>
    <w:rsid w:val="00B8025A"/>
    <w:rsid w:val="00B80337"/>
    <w:rsid w:val="00B80926"/>
    <w:rsid w:val="00B80AAC"/>
    <w:rsid w:val="00B80C19"/>
    <w:rsid w:val="00B80FC7"/>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217"/>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3A"/>
    <w:rsid w:val="00B90BFE"/>
    <w:rsid w:val="00B91723"/>
    <w:rsid w:val="00B91C16"/>
    <w:rsid w:val="00B91C84"/>
    <w:rsid w:val="00B923C9"/>
    <w:rsid w:val="00B9242E"/>
    <w:rsid w:val="00B9294C"/>
    <w:rsid w:val="00B92B5A"/>
    <w:rsid w:val="00B92F24"/>
    <w:rsid w:val="00B9308B"/>
    <w:rsid w:val="00B9308C"/>
    <w:rsid w:val="00B930DC"/>
    <w:rsid w:val="00B93401"/>
    <w:rsid w:val="00B935A5"/>
    <w:rsid w:val="00B9511E"/>
    <w:rsid w:val="00B95EF4"/>
    <w:rsid w:val="00B95F23"/>
    <w:rsid w:val="00B95F9E"/>
    <w:rsid w:val="00B9648B"/>
    <w:rsid w:val="00B964A1"/>
    <w:rsid w:val="00B9678D"/>
    <w:rsid w:val="00B968C1"/>
    <w:rsid w:val="00B96935"/>
    <w:rsid w:val="00B96AC8"/>
    <w:rsid w:val="00B96AF1"/>
    <w:rsid w:val="00B97164"/>
    <w:rsid w:val="00B97712"/>
    <w:rsid w:val="00B97753"/>
    <w:rsid w:val="00B97BD4"/>
    <w:rsid w:val="00B97FB7"/>
    <w:rsid w:val="00BA043A"/>
    <w:rsid w:val="00BA0CCE"/>
    <w:rsid w:val="00BA0EB2"/>
    <w:rsid w:val="00BA10EB"/>
    <w:rsid w:val="00BA1554"/>
    <w:rsid w:val="00BA15F2"/>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59C"/>
    <w:rsid w:val="00BB1715"/>
    <w:rsid w:val="00BB1994"/>
    <w:rsid w:val="00BB1DB0"/>
    <w:rsid w:val="00BB1DDD"/>
    <w:rsid w:val="00BB2952"/>
    <w:rsid w:val="00BB2ED8"/>
    <w:rsid w:val="00BB301D"/>
    <w:rsid w:val="00BB37E0"/>
    <w:rsid w:val="00BB3B54"/>
    <w:rsid w:val="00BB3D7A"/>
    <w:rsid w:val="00BB3DDE"/>
    <w:rsid w:val="00BB4522"/>
    <w:rsid w:val="00BB4873"/>
    <w:rsid w:val="00BB4B36"/>
    <w:rsid w:val="00BB508D"/>
    <w:rsid w:val="00BB512A"/>
    <w:rsid w:val="00BB5216"/>
    <w:rsid w:val="00BB5C88"/>
    <w:rsid w:val="00BB5E01"/>
    <w:rsid w:val="00BB6E82"/>
    <w:rsid w:val="00BB6F18"/>
    <w:rsid w:val="00BB7070"/>
    <w:rsid w:val="00BB72DF"/>
    <w:rsid w:val="00BB733F"/>
    <w:rsid w:val="00BB73B4"/>
    <w:rsid w:val="00BB7762"/>
    <w:rsid w:val="00BB7C04"/>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69F1"/>
    <w:rsid w:val="00BC7243"/>
    <w:rsid w:val="00BC7329"/>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961"/>
    <w:rsid w:val="00BD3C7F"/>
    <w:rsid w:val="00BD4455"/>
    <w:rsid w:val="00BD46E0"/>
    <w:rsid w:val="00BD470D"/>
    <w:rsid w:val="00BD4DB1"/>
    <w:rsid w:val="00BD5177"/>
    <w:rsid w:val="00BD5252"/>
    <w:rsid w:val="00BD56A9"/>
    <w:rsid w:val="00BD5B3F"/>
    <w:rsid w:val="00BD603D"/>
    <w:rsid w:val="00BD604C"/>
    <w:rsid w:val="00BD65A9"/>
    <w:rsid w:val="00BD67E5"/>
    <w:rsid w:val="00BD6CBF"/>
    <w:rsid w:val="00BD7578"/>
    <w:rsid w:val="00BD7659"/>
    <w:rsid w:val="00BD77CE"/>
    <w:rsid w:val="00BD7BF0"/>
    <w:rsid w:val="00BD7C0E"/>
    <w:rsid w:val="00BD7CE1"/>
    <w:rsid w:val="00BE0560"/>
    <w:rsid w:val="00BE06AC"/>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45"/>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E7EE1"/>
    <w:rsid w:val="00BF0476"/>
    <w:rsid w:val="00BF0D0A"/>
    <w:rsid w:val="00BF12B9"/>
    <w:rsid w:val="00BF13F5"/>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411"/>
    <w:rsid w:val="00BF48AE"/>
    <w:rsid w:val="00BF4BDA"/>
    <w:rsid w:val="00BF4DB3"/>
    <w:rsid w:val="00BF4DCD"/>
    <w:rsid w:val="00BF535B"/>
    <w:rsid w:val="00BF53B1"/>
    <w:rsid w:val="00BF5964"/>
    <w:rsid w:val="00BF5F10"/>
    <w:rsid w:val="00BF611E"/>
    <w:rsid w:val="00BF613C"/>
    <w:rsid w:val="00BF6B7F"/>
    <w:rsid w:val="00BF70A6"/>
    <w:rsid w:val="00BF79E9"/>
    <w:rsid w:val="00BF7B4F"/>
    <w:rsid w:val="00BF7FF4"/>
    <w:rsid w:val="00C00494"/>
    <w:rsid w:val="00C007E0"/>
    <w:rsid w:val="00C0089E"/>
    <w:rsid w:val="00C00954"/>
    <w:rsid w:val="00C00DBF"/>
    <w:rsid w:val="00C012A1"/>
    <w:rsid w:val="00C01378"/>
    <w:rsid w:val="00C016BC"/>
    <w:rsid w:val="00C01EC8"/>
    <w:rsid w:val="00C02174"/>
    <w:rsid w:val="00C0280D"/>
    <w:rsid w:val="00C029D5"/>
    <w:rsid w:val="00C02E0C"/>
    <w:rsid w:val="00C02EE2"/>
    <w:rsid w:val="00C030D6"/>
    <w:rsid w:val="00C031A3"/>
    <w:rsid w:val="00C03267"/>
    <w:rsid w:val="00C03297"/>
    <w:rsid w:val="00C034B4"/>
    <w:rsid w:val="00C03742"/>
    <w:rsid w:val="00C03779"/>
    <w:rsid w:val="00C037A3"/>
    <w:rsid w:val="00C03ADF"/>
    <w:rsid w:val="00C03BEC"/>
    <w:rsid w:val="00C04009"/>
    <w:rsid w:val="00C04089"/>
    <w:rsid w:val="00C040E1"/>
    <w:rsid w:val="00C04462"/>
    <w:rsid w:val="00C04886"/>
    <w:rsid w:val="00C04AE5"/>
    <w:rsid w:val="00C057E9"/>
    <w:rsid w:val="00C0588D"/>
    <w:rsid w:val="00C062B7"/>
    <w:rsid w:val="00C062CC"/>
    <w:rsid w:val="00C0632B"/>
    <w:rsid w:val="00C065B6"/>
    <w:rsid w:val="00C06EFD"/>
    <w:rsid w:val="00C07443"/>
    <w:rsid w:val="00C079F7"/>
    <w:rsid w:val="00C07A85"/>
    <w:rsid w:val="00C07B11"/>
    <w:rsid w:val="00C1019D"/>
    <w:rsid w:val="00C117BE"/>
    <w:rsid w:val="00C12357"/>
    <w:rsid w:val="00C126B6"/>
    <w:rsid w:val="00C129B6"/>
    <w:rsid w:val="00C12D81"/>
    <w:rsid w:val="00C12D84"/>
    <w:rsid w:val="00C12EAE"/>
    <w:rsid w:val="00C1301D"/>
    <w:rsid w:val="00C131AE"/>
    <w:rsid w:val="00C132DA"/>
    <w:rsid w:val="00C132ED"/>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204CF"/>
    <w:rsid w:val="00C20B7F"/>
    <w:rsid w:val="00C20EE8"/>
    <w:rsid w:val="00C2105A"/>
    <w:rsid w:val="00C21185"/>
    <w:rsid w:val="00C214D0"/>
    <w:rsid w:val="00C21C01"/>
    <w:rsid w:val="00C22122"/>
    <w:rsid w:val="00C22130"/>
    <w:rsid w:val="00C22368"/>
    <w:rsid w:val="00C224EE"/>
    <w:rsid w:val="00C228D6"/>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0D93"/>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378EB"/>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471"/>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9EF"/>
    <w:rsid w:val="00C55B3E"/>
    <w:rsid w:val="00C56202"/>
    <w:rsid w:val="00C5633C"/>
    <w:rsid w:val="00C5684C"/>
    <w:rsid w:val="00C56A5C"/>
    <w:rsid w:val="00C56CCB"/>
    <w:rsid w:val="00C56F4F"/>
    <w:rsid w:val="00C57889"/>
    <w:rsid w:val="00C57891"/>
    <w:rsid w:val="00C578DB"/>
    <w:rsid w:val="00C57903"/>
    <w:rsid w:val="00C579DB"/>
    <w:rsid w:val="00C579E0"/>
    <w:rsid w:val="00C60479"/>
    <w:rsid w:val="00C60491"/>
    <w:rsid w:val="00C60520"/>
    <w:rsid w:val="00C6061B"/>
    <w:rsid w:val="00C60751"/>
    <w:rsid w:val="00C607AB"/>
    <w:rsid w:val="00C60EF0"/>
    <w:rsid w:val="00C60F72"/>
    <w:rsid w:val="00C61071"/>
    <w:rsid w:val="00C61901"/>
    <w:rsid w:val="00C619C4"/>
    <w:rsid w:val="00C61A4C"/>
    <w:rsid w:val="00C61D95"/>
    <w:rsid w:val="00C61EAB"/>
    <w:rsid w:val="00C6200C"/>
    <w:rsid w:val="00C62934"/>
    <w:rsid w:val="00C62A19"/>
    <w:rsid w:val="00C62BF3"/>
    <w:rsid w:val="00C62FE4"/>
    <w:rsid w:val="00C63081"/>
    <w:rsid w:val="00C631F8"/>
    <w:rsid w:val="00C633AA"/>
    <w:rsid w:val="00C6348C"/>
    <w:rsid w:val="00C634A1"/>
    <w:rsid w:val="00C636F3"/>
    <w:rsid w:val="00C638AE"/>
    <w:rsid w:val="00C63C2C"/>
    <w:rsid w:val="00C64080"/>
    <w:rsid w:val="00C64101"/>
    <w:rsid w:val="00C6427C"/>
    <w:rsid w:val="00C642AA"/>
    <w:rsid w:val="00C64689"/>
    <w:rsid w:val="00C646E5"/>
    <w:rsid w:val="00C64D95"/>
    <w:rsid w:val="00C64E91"/>
    <w:rsid w:val="00C65457"/>
    <w:rsid w:val="00C658AB"/>
    <w:rsid w:val="00C65A2E"/>
    <w:rsid w:val="00C663BF"/>
    <w:rsid w:val="00C6678F"/>
    <w:rsid w:val="00C66893"/>
    <w:rsid w:val="00C66F89"/>
    <w:rsid w:val="00C67020"/>
    <w:rsid w:val="00C67493"/>
    <w:rsid w:val="00C67EFD"/>
    <w:rsid w:val="00C70AE9"/>
    <w:rsid w:val="00C70B67"/>
    <w:rsid w:val="00C70F6A"/>
    <w:rsid w:val="00C714DF"/>
    <w:rsid w:val="00C71631"/>
    <w:rsid w:val="00C71906"/>
    <w:rsid w:val="00C71907"/>
    <w:rsid w:val="00C7204A"/>
    <w:rsid w:val="00C7223D"/>
    <w:rsid w:val="00C7239A"/>
    <w:rsid w:val="00C724E8"/>
    <w:rsid w:val="00C72D24"/>
    <w:rsid w:val="00C7301F"/>
    <w:rsid w:val="00C73E83"/>
    <w:rsid w:val="00C744ED"/>
    <w:rsid w:val="00C7476F"/>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5D2"/>
    <w:rsid w:val="00C80697"/>
    <w:rsid w:val="00C806B3"/>
    <w:rsid w:val="00C807BB"/>
    <w:rsid w:val="00C80946"/>
    <w:rsid w:val="00C80BF5"/>
    <w:rsid w:val="00C80C16"/>
    <w:rsid w:val="00C80E0E"/>
    <w:rsid w:val="00C80EE4"/>
    <w:rsid w:val="00C8103E"/>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567"/>
    <w:rsid w:val="00C83E5E"/>
    <w:rsid w:val="00C84BAD"/>
    <w:rsid w:val="00C8552C"/>
    <w:rsid w:val="00C85530"/>
    <w:rsid w:val="00C856C4"/>
    <w:rsid w:val="00C85A6E"/>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50A"/>
    <w:rsid w:val="00C94AF8"/>
    <w:rsid w:val="00C94C8E"/>
    <w:rsid w:val="00C94DB9"/>
    <w:rsid w:val="00C95365"/>
    <w:rsid w:val="00C96004"/>
    <w:rsid w:val="00C96937"/>
    <w:rsid w:val="00C97426"/>
    <w:rsid w:val="00C976BE"/>
    <w:rsid w:val="00C979D1"/>
    <w:rsid w:val="00C97A9C"/>
    <w:rsid w:val="00C97B55"/>
    <w:rsid w:val="00CA0F79"/>
    <w:rsid w:val="00CA141C"/>
    <w:rsid w:val="00CA2135"/>
    <w:rsid w:val="00CA21D4"/>
    <w:rsid w:val="00CA2256"/>
    <w:rsid w:val="00CA2430"/>
    <w:rsid w:val="00CA2541"/>
    <w:rsid w:val="00CA272C"/>
    <w:rsid w:val="00CA2A1B"/>
    <w:rsid w:val="00CA30BE"/>
    <w:rsid w:val="00CA32AB"/>
    <w:rsid w:val="00CA38AB"/>
    <w:rsid w:val="00CA3B1B"/>
    <w:rsid w:val="00CA43C5"/>
    <w:rsid w:val="00CA43CA"/>
    <w:rsid w:val="00CA4488"/>
    <w:rsid w:val="00CA4612"/>
    <w:rsid w:val="00CA4883"/>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E2A"/>
    <w:rsid w:val="00CA707A"/>
    <w:rsid w:val="00CA7212"/>
    <w:rsid w:val="00CA7395"/>
    <w:rsid w:val="00CA7529"/>
    <w:rsid w:val="00CA752A"/>
    <w:rsid w:val="00CA7636"/>
    <w:rsid w:val="00CA78EF"/>
    <w:rsid w:val="00CA7ADE"/>
    <w:rsid w:val="00CA7D04"/>
    <w:rsid w:val="00CA7E08"/>
    <w:rsid w:val="00CA7F9B"/>
    <w:rsid w:val="00CB0613"/>
    <w:rsid w:val="00CB064E"/>
    <w:rsid w:val="00CB071C"/>
    <w:rsid w:val="00CB08E4"/>
    <w:rsid w:val="00CB09FB"/>
    <w:rsid w:val="00CB0D25"/>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51E5"/>
    <w:rsid w:val="00CB5779"/>
    <w:rsid w:val="00CB57B1"/>
    <w:rsid w:val="00CB66A6"/>
    <w:rsid w:val="00CB7095"/>
    <w:rsid w:val="00CB714E"/>
    <w:rsid w:val="00CB795E"/>
    <w:rsid w:val="00CB7F96"/>
    <w:rsid w:val="00CC0063"/>
    <w:rsid w:val="00CC01DC"/>
    <w:rsid w:val="00CC0735"/>
    <w:rsid w:val="00CC07EC"/>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854"/>
    <w:rsid w:val="00CC5A49"/>
    <w:rsid w:val="00CC5DBB"/>
    <w:rsid w:val="00CC601C"/>
    <w:rsid w:val="00CC61E2"/>
    <w:rsid w:val="00CC633E"/>
    <w:rsid w:val="00CC65A9"/>
    <w:rsid w:val="00CC6924"/>
    <w:rsid w:val="00CC6C2C"/>
    <w:rsid w:val="00CC7342"/>
    <w:rsid w:val="00CC74C1"/>
    <w:rsid w:val="00CD02FF"/>
    <w:rsid w:val="00CD0445"/>
    <w:rsid w:val="00CD060E"/>
    <w:rsid w:val="00CD0854"/>
    <w:rsid w:val="00CD0AA2"/>
    <w:rsid w:val="00CD0B2E"/>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EE6"/>
    <w:rsid w:val="00CD3F6C"/>
    <w:rsid w:val="00CD4447"/>
    <w:rsid w:val="00CD4625"/>
    <w:rsid w:val="00CD4807"/>
    <w:rsid w:val="00CD4819"/>
    <w:rsid w:val="00CD482A"/>
    <w:rsid w:val="00CD5970"/>
    <w:rsid w:val="00CD5BD6"/>
    <w:rsid w:val="00CD5E54"/>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584"/>
    <w:rsid w:val="00CE1748"/>
    <w:rsid w:val="00CE19F9"/>
    <w:rsid w:val="00CE1B94"/>
    <w:rsid w:val="00CE1BA7"/>
    <w:rsid w:val="00CE2165"/>
    <w:rsid w:val="00CE21AB"/>
    <w:rsid w:val="00CE21FE"/>
    <w:rsid w:val="00CE223F"/>
    <w:rsid w:val="00CE229B"/>
    <w:rsid w:val="00CE2462"/>
    <w:rsid w:val="00CE2539"/>
    <w:rsid w:val="00CE279C"/>
    <w:rsid w:val="00CE289A"/>
    <w:rsid w:val="00CE29A6"/>
    <w:rsid w:val="00CE2BA0"/>
    <w:rsid w:val="00CE2C97"/>
    <w:rsid w:val="00CE2DD2"/>
    <w:rsid w:val="00CE2E71"/>
    <w:rsid w:val="00CE34DC"/>
    <w:rsid w:val="00CE3621"/>
    <w:rsid w:val="00CE3C2B"/>
    <w:rsid w:val="00CE3C83"/>
    <w:rsid w:val="00CE3DC5"/>
    <w:rsid w:val="00CE41B1"/>
    <w:rsid w:val="00CE430A"/>
    <w:rsid w:val="00CE43F4"/>
    <w:rsid w:val="00CE449E"/>
    <w:rsid w:val="00CE4D0E"/>
    <w:rsid w:val="00CE57AA"/>
    <w:rsid w:val="00CE5D29"/>
    <w:rsid w:val="00CE5EC5"/>
    <w:rsid w:val="00CE5F66"/>
    <w:rsid w:val="00CE6498"/>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6F2"/>
    <w:rsid w:val="00CF29FC"/>
    <w:rsid w:val="00CF2A20"/>
    <w:rsid w:val="00CF3917"/>
    <w:rsid w:val="00CF3DE9"/>
    <w:rsid w:val="00CF420D"/>
    <w:rsid w:val="00CF42ED"/>
    <w:rsid w:val="00CF45B4"/>
    <w:rsid w:val="00CF4871"/>
    <w:rsid w:val="00CF4896"/>
    <w:rsid w:val="00CF4946"/>
    <w:rsid w:val="00CF4AB5"/>
    <w:rsid w:val="00CF4CC3"/>
    <w:rsid w:val="00CF4DB3"/>
    <w:rsid w:val="00CF4EEB"/>
    <w:rsid w:val="00CF53B9"/>
    <w:rsid w:val="00CF5557"/>
    <w:rsid w:val="00CF583F"/>
    <w:rsid w:val="00CF5995"/>
    <w:rsid w:val="00CF61A8"/>
    <w:rsid w:val="00CF64AF"/>
    <w:rsid w:val="00CF6596"/>
    <w:rsid w:val="00CF6782"/>
    <w:rsid w:val="00CF67BC"/>
    <w:rsid w:val="00CF69C9"/>
    <w:rsid w:val="00CF6CCB"/>
    <w:rsid w:val="00CF6DAA"/>
    <w:rsid w:val="00CF70A9"/>
    <w:rsid w:val="00CF71EE"/>
    <w:rsid w:val="00CF7452"/>
    <w:rsid w:val="00CF7911"/>
    <w:rsid w:val="00CF7ABE"/>
    <w:rsid w:val="00CF7D90"/>
    <w:rsid w:val="00CF7E20"/>
    <w:rsid w:val="00CF7EBD"/>
    <w:rsid w:val="00D003E9"/>
    <w:rsid w:val="00D006D5"/>
    <w:rsid w:val="00D00A71"/>
    <w:rsid w:val="00D0110A"/>
    <w:rsid w:val="00D0138A"/>
    <w:rsid w:val="00D01E99"/>
    <w:rsid w:val="00D02411"/>
    <w:rsid w:val="00D024FB"/>
    <w:rsid w:val="00D0276C"/>
    <w:rsid w:val="00D02A74"/>
    <w:rsid w:val="00D02BCE"/>
    <w:rsid w:val="00D02F36"/>
    <w:rsid w:val="00D0332B"/>
    <w:rsid w:val="00D034DA"/>
    <w:rsid w:val="00D03A5C"/>
    <w:rsid w:val="00D03C49"/>
    <w:rsid w:val="00D04B84"/>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4F"/>
    <w:rsid w:val="00D107DE"/>
    <w:rsid w:val="00D108CA"/>
    <w:rsid w:val="00D10AA5"/>
    <w:rsid w:val="00D10D38"/>
    <w:rsid w:val="00D1121E"/>
    <w:rsid w:val="00D11569"/>
    <w:rsid w:val="00D117C0"/>
    <w:rsid w:val="00D11A99"/>
    <w:rsid w:val="00D11E7C"/>
    <w:rsid w:val="00D12006"/>
    <w:rsid w:val="00D12176"/>
    <w:rsid w:val="00D12392"/>
    <w:rsid w:val="00D128BB"/>
    <w:rsid w:val="00D1295E"/>
    <w:rsid w:val="00D12F51"/>
    <w:rsid w:val="00D130A5"/>
    <w:rsid w:val="00D13193"/>
    <w:rsid w:val="00D13347"/>
    <w:rsid w:val="00D13766"/>
    <w:rsid w:val="00D13858"/>
    <w:rsid w:val="00D13A73"/>
    <w:rsid w:val="00D13AF7"/>
    <w:rsid w:val="00D144C4"/>
    <w:rsid w:val="00D14506"/>
    <w:rsid w:val="00D14608"/>
    <w:rsid w:val="00D14735"/>
    <w:rsid w:val="00D147E7"/>
    <w:rsid w:val="00D14918"/>
    <w:rsid w:val="00D1510F"/>
    <w:rsid w:val="00D151F7"/>
    <w:rsid w:val="00D1530C"/>
    <w:rsid w:val="00D155CF"/>
    <w:rsid w:val="00D15D06"/>
    <w:rsid w:val="00D16308"/>
    <w:rsid w:val="00D16644"/>
    <w:rsid w:val="00D16A07"/>
    <w:rsid w:val="00D16BDC"/>
    <w:rsid w:val="00D17136"/>
    <w:rsid w:val="00D17175"/>
    <w:rsid w:val="00D17295"/>
    <w:rsid w:val="00D173B6"/>
    <w:rsid w:val="00D173BB"/>
    <w:rsid w:val="00D17ABE"/>
    <w:rsid w:val="00D20230"/>
    <w:rsid w:val="00D20548"/>
    <w:rsid w:val="00D20552"/>
    <w:rsid w:val="00D20E9D"/>
    <w:rsid w:val="00D2112A"/>
    <w:rsid w:val="00D22000"/>
    <w:rsid w:val="00D2216F"/>
    <w:rsid w:val="00D222F9"/>
    <w:rsid w:val="00D226A0"/>
    <w:rsid w:val="00D226FE"/>
    <w:rsid w:val="00D22875"/>
    <w:rsid w:val="00D228CF"/>
    <w:rsid w:val="00D229DE"/>
    <w:rsid w:val="00D22A03"/>
    <w:rsid w:val="00D22A1E"/>
    <w:rsid w:val="00D22B11"/>
    <w:rsid w:val="00D231AC"/>
    <w:rsid w:val="00D239CC"/>
    <w:rsid w:val="00D2441A"/>
    <w:rsid w:val="00D24E68"/>
    <w:rsid w:val="00D252FD"/>
    <w:rsid w:val="00D253D2"/>
    <w:rsid w:val="00D253FF"/>
    <w:rsid w:val="00D2540B"/>
    <w:rsid w:val="00D263CB"/>
    <w:rsid w:val="00D26722"/>
    <w:rsid w:val="00D2674D"/>
    <w:rsid w:val="00D2688D"/>
    <w:rsid w:val="00D26D43"/>
    <w:rsid w:val="00D26F11"/>
    <w:rsid w:val="00D271E5"/>
    <w:rsid w:val="00D2721A"/>
    <w:rsid w:val="00D27D99"/>
    <w:rsid w:val="00D27EA4"/>
    <w:rsid w:val="00D300E9"/>
    <w:rsid w:val="00D30299"/>
    <w:rsid w:val="00D30503"/>
    <w:rsid w:val="00D30ADD"/>
    <w:rsid w:val="00D313A0"/>
    <w:rsid w:val="00D313CE"/>
    <w:rsid w:val="00D31908"/>
    <w:rsid w:val="00D3190F"/>
    <w:rsid w:val="00D31DFB"/>
    <w:rsid w:val="00D31FA1"/>
    <w:rsid w:val="00D32034"/>
    <w:rsid w:val="00D32452"/>
    <w:rsid w:val="00D325CE"/>
    <w:rsid w:val="00D32671"/>
    <w:rsid w:val="00D333C9"/>
    <w:rsid w:val="00D3344B"/>
    <w:rsid w:val="00D3367D"/>
    <w:rsid w:val="00D33963"/>
    <w:rsid w:val="00D33ADF"/>
    <w:rsid w:val="00D33B69"/>
    <w:rsid w:val="00D33F8D"/>
    <w:rsid w:val="00D34458"/>
    <w:rsid w:val="00D346BF"/>
    <w:rsid w:val="00D34D33"/>
    <w:rsid w:val="00D34D7E"/>
    <w:rsid w:val="00D34FD4"/>
    <w:rsid w:val="00D350B4"/>
    <w:rsid w:val="00D3537C"/>
    <w:rsid w:val="00D356C5"/>
    <w:rsid w:val="00D359EA"/>
    <w:rsid w:val="00D35FC5"/>
    <w:rsid w:val="00D360BA"/>
    <w:rsid w:val="00D36506"/>
    <w:rsid w:val="00D366DF"/>
    <w:rsid w:val="00D367C2"/>
    <w:rsid w:val="00D36805"/>
    <w:rsid w:val="00D368ED"/>
    <w:rsid w:val="00D36905"/>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79F"/>
    <w:rsid w:val="00D46BE2"/>
    <w:rsid w:val="00D47131"/>
    <w:rsid w:val="00D47651"/>
    <w:rsid w:val="00D47680"/>
    <w:rsid w:val="00D476C2"/>
    <w:rsid w:val="00D47D7E"/>
    <w:rsid w:val="00D5012A"/>
    <w:rsid w:val="00D50471"/>
    <w:rsid w:val="00D504C2"/>
    <w:rsid w:val="00D50AB5"/>
    <w:rsid w:val="00D512F2"/>
    <w:rsid w:val="00D5193B"/>
    <w:rsid w:val="00D51DBE"/>
    <w:rsid w:val="00D51E6F"/>
    <w:rsid w:val="00D5264B"/>
    <w:rsid w:val="00D52B7C"/>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454"/>
    <w:rsid w:val="00D559CC"/>
    <w:rsid w:val="00D55B9B"/>
    <w:rsid w:val="00D55BDD"/>
    <w:rsid w:val="00D56110"/>
    <w:rsid w:val="00D56468"/>
    <w:rsid w:val="00D565C0"/>
    <w:rsid w:val="00D56662"/>
    <w:rsid w:val="00D56A2C"/>
    <w:rsid w:val="00D570A4"/>
    <w:rsid w:val="00D572B9"/>
    <w:rsid w:val="00D573EC"/>
    <w:rsid w:val="00D577DD"/>
    <w:rsid w:val="00D578A4"/>
    <w:rsid w:val="00D5798A"/>
    <w:rsid w:val="00D57B45"/>
    <w:rsid w:val="00D57FEE"/>
    <w:rsid w:val="00D600C2"/>
    <w:rsid w:val="00D600CC"/>
    <w:rsid w:val="00D60239"/>
    <w:rsid w:val="00D603D2"/>
    <w:rsid w:val="00D603FF"/>
    <w:rsid w:val="00D604E4"/>
    <w:rsid w:val="00D60866"/>
    <w:rsid w:val="00D609FD"/>
    <w:rsid w:val="00D60F2D"/>
    <w:rsid w:val="00D614F8"/>
    <w:rsid w:val="00D61DEE"/>
    <w:rsid w:val="00D61E0A"/>
    <w:rsid w:val="00D62356"/>
    <w:rsid w:val="00D6261C"/>
    <w:rsid w:val="00D626E1"/>
    <w:rsid w:val="00D6294F"/>
    <w:rsid w:val="00D62C91"/>
    <w:rsid w:val="00D62C95"/>
    <w:rsid w:val="00D62D92"/>
    <w:rsid w:val="00D62DBB"/>
    <w:rsid w:val="00D6300B"/>
    <w:rsid w:val="00D630C3"/>
    <w:rsid w:val="00D634F1"/>
    <w:rsid w:val="00D6366F"/>
    <w:rsid w:val="00D63A14"/>
    <w:rsid w:val="00D63B59"/>
    <w:rsid w:val="00D63C28"/>
    <w:rsid w:val="00D63C3F"/>
    <w:rsid w:val="00D63C70"/>
    <w:rsid w:val="00D63DCF"/>
    <w:rsid w:val="00D63FF3"/>
    <w:rsid w:val="00D6424E"/>
    <w:rsid w:val="00D64544"/>
    <w:rsid w:val="00D646E2"/>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0DCF"/>
    <w:rsid w:val="00D7210D"/>
    <w:rsid w:val="00D726EE"/>
    <w:rsid w:val="00D72B26"/>
    <w:rsid w:val="00D72F6D"/>
    <w:rsid w:val="00D731B2"/>
    <w:rsid w:val="00D7347A"/>
    <w:rsid w:val="00D73592"/>
    <w:rsid w:val="00D73677"/>
    <w:rsid w:val="00D736DA"/>
    <w:rsid w:val="00D739E9"/>
    <w:rsid w:val="00D74062"/>
    <w:rsid w:val="00D74259"/>
    <w:rsid w:val="00D7430D"/>
    <w:rsid w:val="00D74BED"/>
    <w:rsid w:val="00D74F41"/>
    <w:rsid w:val="00D7587B"/>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77C6B"/>
    <w:rsid w:val="00D80055"/>
    <w:rsid w:val="00D8039A"/>
    <w:rsid w:val="00D805FD"/>
    <w:rsid w:val="00D80837"/>
    <w:rsid w:val="00D80860"/>
    <w:rsid w:val="00D810EF"/>
    <w:rsid w:val="00D81519"/>
    <w:rsid w:val="00D81B11"/>
    <w:rsid w:val="00D81C02"/>
    <w:rsid w:val="00D81C76"/>
    <w:rsid w:val="00D81D0F"/>
    <w:rsid w:val="00D82769"/>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535"/>
    <w:rsid w:val="00D858BF"/>
    <w:rsid w:val="00D85D7C"/>
    <w:rsid w:val="00D85E87"/>
    <w:rsid w:val="00D86067"/>
    <w:rsid w:val="00D863AE"/>
    <w:rsid w:val="00D8677C"/>
    <w:rsid w:val="00D8678F"/>
    <w:rsid w:val="00D87782"/>
    <w:rsid w:val="00D87849"/>
    <w:rsid w:val="00D8785C"/>
    <w:rsid w:val="00D87A88"/>
    <w:rsid w:val="00D87AA2"/>
    <w:rsid w:val="00D87B62"/>
    <w:rsid w:val="00D87EF7"/>
    <w:rsid w:val="00D90425"/>
    <w:rsid w:val="00D9044D"/>
    <w:rsid w:val="00D90D7B"/>
    <w:rsid w:val="00D9103F"/>
    <w:rsid w:val="00D91F82"/>
    <w:rsid w:val="00D9222B"/>
    <w:rsid w:val="00D924B4"/>
    <w:rsid w:val="00D924BB"/>
    <w:rsid w:val="00D92698"/>
    <w:rsid w:val="00D927FE"/>
    <w:rsid w:val="00D92CAF"/>
    <w:rsid w:val="00D92DA6"/>
    <w:rsid w:val="00D92F46"/>
    <w:rsid w:val="00D936AE"/>
    <w:rsid w:val="00D93BFF"/>
    <w:rsid w:val="00D93E55"/>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85"/>
    <w:rsid w:val="00DA03FD"/>
    <w:rsid w:val="00DA05A6"/>
    <w:rsid w:val="00DA0C32"/>
    <w:rsid w:val="00DA0F41"/>
    <w:rsid w:val="00DA1191"/>
    <w:rsid w:val="00DA14FA"/>
    <w:rsid w:val="00DA15CE"/>
    <w:rsid w:val="00DA18B4"/>
    <w:rsid w:val="00DA234B"/>
    <w:rsid w:val="00DA26FA"/>
    <w:rsid w:val="00DA281A"/>
    <w:rsid w:val="00DA29EE"/>
    <w:rsid w:val="00DA2AD4"/>
    <w:rsid w:val="00DA2E24"/>
    <w:rsid w:val="00DA2F5D"/>
    <w:rsid w:val="00DA300F"/>
    <w:rsid w:val="00DA32D2"/>
    <w:rsid w:val="00DA3607"/>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B81"/>
    <w:rsid w:val="00DB0E76"/>
    <w:rsid w:val="00DB0FCF"/>
    <w:rsid w:val="00DB135B"/>
    <w:rsid w:val="00DB143A"/>
    <w:rsid w:val="00DB15EE"/>
    <w:rsid w:val="00DB17C0"/>
    <w:rsid w:val="00DB198D"/>
    <w:rsid w:val="00DB1E02"/>
    <w:rsid w:val="00DB22BD"/>
    <w:rsid w:val="00DB230F"/>
    <w:rsid w:val="00DB23BC"/>
    <w:rsid w:val="00DB252E"/>
    <w:rsid w:val="00DB252F"/>
    <w:rsid w:val="00DB2647"/>
    <w:rsid w:val="00DB2C52"/>
    <w:rsid w:val="00DB332C"/>
    <w:rsid w:val="00DB33A5"/>
    <w:rsid w:val="00DB398E"/>
    <w:rsid w:val="00DB3BEF"/>
    <w:rsid w:val="00DB3C8A"/>
    <w:rsid w:val="00DB3D65"/>
    <w:rsid w:val="00DB4127"/>
    <w:rsid w:val="00DB42A1"/>
    <w:rsid w:val="00DB43B2"/>
    <w:rsid w:val="00DB4544"/>
    <w:rsid w:val="00DB50C1"/>
    <w:rsid w:val="00DB5B1A"/>
    <w:rsid w:val="00DB5EFC"/>
    <w:rsid w:val="00DB6036"/>
    <w:rsid w:val="00DB653A"/>
    <w:rsid w:val="00DB697F"/>
    <w:rsid w:val="00DB6B61"/>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13E"/>
    <w:rsid w:val="00DC229B"/>
    <w:rsid w:val="00DC2AAB"/>
    <w:rsid w:val="00DC2F23"/>
    <w:rsid w:val="00DC30A1"/>
    <w:rsid w:val="00DC37CD"/>
    <w:rsid w:val="00DC3BE5"/>
    <w:rsid w:val="00DC485C"/>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6CB"/>
    <w:rsid w:val="00DD2AB3"/>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665"/>
    <w:rsid w:val="00DD79D0"/>
    <w:rsid w:val="00DE1063"/>
    <w:rsid w:val="00DE1085"/>
    <w:rsid w:val="00DE1133"/>
    <w:rsid w:val="00DE1716"/>
    <w:rsid w:val="00DE17D4"/>
    <w:rsid w:val="00DE1B2C"/>
    <w:rsid w:val="00DE220B"/>
    <w:rsid w:val="00DE2785"/>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7EE"/>
    <w:rsid w:val="00DE7824"/>
    <w:rsid w:val="00DF012D"/>
    <w:rsid w:val="00DF044B"/>
    <w:rsid w:val="00DF068E"/>
    <w:rsid w:val="00DF06FB"/>
    <w:rsid w:val="00DF0879"/>
    <w:rsid w:val="00DF0AF7"/>
    <w:rsid w:val="00DF0C6A"/>
    <w:rsid w:val="00DF11E3"/>
    <w:rsid w:val="00DF127B"/>
    <w:rsid w:val="00DF1406"/>
    <w:rsid w:val="00DF16B0"/>
    <w:rsid w:val="00DF1A7C"/>
    <w:rsid w:val="00DF1BFC"/>
    <w:rsid w:val="00DF1D43"/>
    <w:rsid w:val="00DF1F18"/>
    <w:rsid w:val="00DF224C"/>
    <w:rsid w:val="00DF2269"/>
    <w:rsid w:val="00DF2AEB"/>
    <w:rsid w:val="00DF2CD7"/>
    <w:rsid w:val="00DF2FC3"/>
    <w:rsid w:val="00DF308A"/>
    <w:rsid w:val="00DF32DD"/>
    <w:rsid w:val="00DF3427"/>
    <w:rsid w:val="00DF38C5"/>
    <w:rsid w:val="00DF38D7"/>
    <w:rsid w:val="00DF3B73"/>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2F22"/>
    <w:rsid w:val="00E03729"/>
    <w:rsid w:val="00E039C2"/>
    <w:rsid w:val="00E03B76"/>
    <w:rsid w:val="00E040F8"/>
    <w:rsid w:val="00E041D8"/>
    <w:rsid w:val="00E04351"/>
    <w:rsid w:val="00E044B1"/>
    <w:rsid w:val="00E04D1D"/>
    <w:rsid w:val="00E0525B"/>
    <w:rsid w:val="00E0525F"/>
    <w:rsid w:val="00E054CE"/>
    <w:rsid w:val="00E0551E"/>
    <w:rsid w:val="00E05869"/>
    <w:rsid w:val="00E0608C"/>
    <w:rsid w:val="00E062B5"/>
    <w:rsid w:val="00E0640B"/>
    <w:rsid w:val="00E06723"/>
    <w:rsid w:val="00E06973"/>
    <w:rsid w:val="00E06C0A"/>
    <w:rsid w:val="00E06EE9"/>
    <w:rsid w:val="00E07140"/>
    <w:rsid w:val="00E071FA"/>
    <w:rsid w:val="00E0782E"/>
    <w:rsid w:val="00E07A91"/>
    <w:rsid w:val="00E07D8A"/>
    <w:rsid w:val="00E10074"/>
    <w:rsid w:val="00E10643"/>
    <w:rsid w:val="00E106A1"/>
    <w:rsid w:val="00E10771"/>
    <w:rsid w:val="00E10C91"/>
    <w:rsid w:val="00E10D6C"/>
    <w:rsid w:val="00E117C6"/>
    <w:rsid w:val="00E11F59"/>
    <w:rsid w:val="00E11F8E"/>
    <w:rsid w:val="00E1249C"/>
    <w:rsid w:val="00E12591"/>
    <w:rsid w:val="00E129E6"/>
    <w:rsid w:val="00E12F2F"/>
    <w:rsid w:val="00E1330E"/>
    <w:rsid w:val="00E1382C"/>
    <w:rsid w:val="00E139CB"/>
    <w:rsid w:val="00E13CA4"/>
    <w:rsid w:val="00E142FE"/>
    <w:rsid w:val="00E1485E"/>
    <w:rsid w:val="00E14C7B"/>
    <w:rsid w:val="00E157E2"/>
    <w:rsid w:val="00E162C2"/>
    <w:rsid w:val="00E16307"/>
    <w:rsid w:val="00E16382"/>
    <w:rsid w:val="00E16FF8"/>
    <w:rsid w:val="00E1720B"/>
    <w:rsid w:val="00E17227"/>
    <w:rsid w:val="00E172BE"/>
    <w:rsid w:val="00E1790C"/>
    <w:rsid w:val="00E17E57"/>
    <w:rsid w:val="00E202D8"/>
    <w:rsid w:val="00E20785"/>
    <w:rsid w:val="00E207AD"/>
    <w:rsid w:val="00E20D29"/>
    <w:rsid w:val="00E20E1F"/>
    <w:rsid w:val="00E20F96"/>
    <w:rsid w:val="00E2108E"/>
    <w:rsid w:val="00E21315"/>
    <w:rsid w:val="00E21539"/>
    <w:rsid w:val="00E21A95"/>
    <w:rsid w:val="00E2205C"/>
    <w:rsid w:val="00E220AD"/>
    <w:rsid w:val="00E22307"/>
    <w:rsid w:val="00E228B3"/>
    <w:rsid w:val="00E22B61"/>
    <w:rsid w:val="00E22DB0"/>
    <w:rsid w:val="00E23577"/>
    <w:rsid w:val="00E2368E"/>
    <w:rsid w:val="00E23EAF"/>
    <w:rsid w:val="00E23F4D"/>
    <w:rsid w:val="00E240B5"/>
    <w:rsid w:val="00E24111"/>
    <w:rsid w:val="00E2433C"/>
    <w:rsid w:val="00E24A16"/>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808"/>
    <w:rsid w:val="00E3099C"/>
    <w:rsid w:val="00E30D20"/>
    <w:rsid w:val="00E30D7B"/>
    <w:rsid w:val="00E30DAD"/>
    <w:rsid w:val="00E313A3"/>
    <w:rsid w:val="00E318BC"/>
    <w:rsid w:val="00E3197D"/>
    <w:rsid w:val="00E31E1F"/>
    <w:rsid w:val="00E31EA6"/>
    <w:rsid w:val="00E32141"/>
    <w:rsid w:val="00E32585"/>
    <w:rsid w:val="00E32892"/>
    <w:rsid w:val="00E32A31"/>
    <w:rsid w:val="00E32C01"/>
    <w:rsid w:val="00E32F90"/>
    <w:rsid w:val="00E32FBC"/>
    <w:rsid w:val="00E3311E"/>
    <w:rsid w:val="00E331A2"/>
    <w:rsid w:val="00E333FC"/>
    <w:rsid w:val="00E33B4C"/>
    <w:rsid w:val="00E34105"/>
    <w:rsid w:val="00E34268"/>
    <w:rsid w:val="00E3461B"/>
    <w:rsid w:val="00E34633"/>
    <w:rsid w:val="00E348B8"/>
    <w:rsid w:val="00E34991"/>
    <w:rsid w:val="00E34DA7"/>
    <w:rsid w:val="00E34E28"/>
    <w:rsid w:val="00E34EDA"/>
    <w:rsid w:val="00E360B7"/>
    <w:rsid w:val="00E36430"/>
    <w:rsid w:val="00E3674A"/>
    <w:rsid w:val="00E36A9D"/>
    <w:rsid w:val="00E37302"/>
    <w:rsid w:val="00E37746"/>
    <w:rsid w:val="00E37A8D"/>
    <w:rsid w:val="00E37B62"/>
    <w:rsid w:val="00E400ED"/>
    <w:rsid w:val="00E402F0"/>
    <w:rsid w:val="00E404A2"/>
    <w:rsid w:val="00E40B1F"/>
    <w:rsid w:val="00E40C8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0C9"/>
    <w:rsid w:val="00E4439A"/>
    <w:rsid w:val="00E44715"/>
    <w:rsid w:val="00E449DD"/>
    <w:rsid w:val="00E44B31"/>
    <w:rsid w:val="00E44BCB"/>
    <w:rsid w:val="00E45303"/>
    <w:rsid w:val="00E45330"/>
    <w:rsid w:val="00E454D9"/>
    <w:rsid w:val="00E458EA"/>
    <w:rsid w:val="00E45919"/>
    <w:rsid w:val="00E45E8F"/>
    <w:rsid w:val="00E45EB8"/>
    <w:rsid w:val="00E4616A"/>
    <w:rsid w:val="00E46258"/>
    <w:rsid w:val="00E46482"/>
    <w:rsid w:val="00E4664A"/>
    <w:rsid w:val="00E46670"/>
    <w:rsid w:val="00E466FD"/>
    <w:rsid w:val="00E46A9E"/>
    <w:rsid w:val="00E46B57"/>
    <w:rsid w:val="00E46CC4"/>
    <w:rsid w:val="00E4713D"/>
    <w:rsid w:val="00E47588"/>
    <w:rsid w:val="00E475F6"/>
    <w:rsid w:val="00E47BD3"/>
    <w:rsid w:val="00E47E08"/>
    <w:rsid w:val="00E5029B"/>
    <w:rsid w:val="00E5047E"/>
    <w:rsid w:val="00E506D3"/>
    <w:rsid w:val="00E508FA"/>
    <w:rsid w:val="00E50ABC"/>
    <w:rsid w:val="00E50B5E"/>
    <w:rsid w:val="00E50BAD"/>
    <w:rsid w:val="00E50C8B"/>
    <w:rsid w:val="00E510CE"/>
    <w:rsid w:val="00E51518"/>
    <w:rsid w:val="00E51543"/>
    <w:rsid w:val="00E51915"/>
    <w:rsid w:val="00E51A52"/>
    <w:rsid w:val="00E529C6"/>
    <w:rsid w:val="00E52EA6"/>
    <w:rsid w:val="00E53894"/>
    <w:rsid w:val="00E54141"/>
    <w:rsid w:val="00E545CD"/>
    <w:rsid w:val="00E54634"/>
    <w:rsid w:val="00E54C3A"/>
    <w:rsid w:val="00E55138"/>
    <w:rsid w:val="00E55AAB"/>
    <w:rsid w:val="00E55B9B"/>
    <w:rsid w:val="00E55D8A"/>
    <w:rsid w:val="00E55E4B"/>
    <w:rsid w:val="00E561C6"/>
    <w:rsid w:val="00E56B10"/>
    <w:rsid w:val="00E571B0"/>
    <w:rsid w:val="00E572B0"/>
    <w:rsid w:val="00E57439"/>
    <w:rsid w:val="00E57665"/>
    <w:rsid w:val="00E57700"/>
    <w:rsid w:val="00E602C2"/>
    <w:rsid w:val="00E604CE"/>
    <w:rsid w:val="00E606F8"/>
    <w:rsid w:val="00E60A61"/>
    <w:rsid w:val="00E60D47"/>
    <w:rsid w:val="00E6102D"/>
    <w:rsid w:val="00E61042"/>
    <w:rsid w:val="00E61407"/>
    <w:rsid w:val="00E61543"/>
    <w:rsid w:val="00E61E5A"/>
    <w:rsid w:val="00E61F08"/>
    <w:rsid w:val="00E62296"/>
    <w:rsid w:val="00E6326A"/>
    <w:rsid w:val="00E6329E"/>
    <w:rsid w:val="00E63A57"/>
    <w:rsid w:val="00E63ADC"/>
    <w:rsid w:val="00E63D5D"/>
    <w:rsid w:val="00E63DCB"/>
    <w:rsid w:val="00E63E32"/>
    <w:rsid w:val="00E63E6F"/>
    <w:rsid w:val="00E643B8"/>
    <w:rsid w:val="00E6462B"/>
    <w:rsid w:val="00E6462C"/>
    <w:rsid w:val="00E646DE"/>
    <w:rsid w:val="00E64968"/>
    <w:rsid w:val="00E64E3F"/>
    <w:rsid w:val="00E64ECF"/>
    <w:rsid w:val="00E65044"/>
    <w:rsid w:val="00E65190"/>
    <w:rsid w:val="00E6542D"/>
    <w:rsid w:val="00E65589"/>
    <w:rsid w:val="00E65C9D"/>
    <w:rsid w:val="00E6627E"/>
    <w:rsid w:val="00E6634B"/>
    <w:rsid w:val="00E664E9"/>
    <w:rsid w:val="00E666CC"/>
    <w:rsid w:val="00E66733"/>
    <w:rsid w:val="00E6693C"/>
    <w:rsid w:val="00E66B6C"/>
    <w:rsid w:val="00E67FE3"/>
    <w:rsid w:val="00E7062C"/>
    <w:rsid w:val="00E70828"/>
    <w:rsid w:val="00E708E9"/>
    <w:rsid w:val="00E70FEC"/>
    <w:rsid w:val="00E7187A"/>
    <w:rsid w:val="00E71A37"/>
    <w:rsid w:val="00E71A98"/>
    <w:rsid w:val="00E72FE4"/>
    <w:rsid w:val="00E7339F"/>
    <w:rsid w:val="00E73C44"/>
    <w:rsid w:val="00E73EED"/>
    <w:rsid w:val="00E741AA"/>
    <w:rsid w:val="00E741BF"/>
    <w:rsid w:val="00E74744"/>
    <w:rsid w:val="00E75187"/>
    <w:rsid w:val="00E75707"/>
    <w:rsid w:val="00E75810"/>
    <w:rsid w:val="00E75819"/>
    <w:rsid w:val="00E75C0A"/>
    <w:rsid w:val="00E75D4C"/>
    <w:rsid w:val="00E76267"/>
    <w:rsid w:val="00E762C6"/>
    <w:rsid w:val="00E76410"/>
    <w:rsid w:val="00E7654F"/>
    <w:rsid w:val="00E767A7"/>
    <w:rsid w:val="00E76B1F"/>
    <w:rsid w:val="00E7719F"/>
    <w:rsid w:val="00E771AA"/>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570"/>
    <w:rsid w:val="00E8470B"/>
    <w:rsid w:val="00E848AC"/>
    <w:rsid w:val="00E84A6B"/>
    <w:rsid w:val="00E84A8F"/>
    <w:rsid w:val="00E84CDC"/>
    <w:rsid w:val="00E84D44"/>
    <w:rsid w:val="00E850A3"/>
    <w:rsid w:val="00E851C6"/>
    <w:rsid w:val="00E85704"/>
    <w:rsid w:val="00E8580D"/>
    <w:rsid w:val="00E85DB4"/>
    <w:rsid w:val="00E85F72"/>
    <w:rsid w:val="00E868DC"/>
    <w:rsid w:val="00E869D0"/>
    <w:rsid w:val="00E86A5C"/>
    <w:rsid w:val="00E86D31"/>
    <w:rsid w:val="00E86EF0"/>
    <w:rsid w:val="00E86FA2"/>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C9E"/>
    <w:rsid w:val="00E94ECE"/>
    <w:rsid w:val="00E95014"/>
    <w:rsid w:val="00E95447"/>
    <w:rsid w:val="00E95477"/>
    <w:rsid w:val="00E95679"/>
    <w:rsid w:val="00E95D3F"/>
    <w:rsid w:val="00E96209"/>
    <w:rsid w:val="00E962F8"/>
    <w:rsid w:val="00E96C03"/>
    <w:rsid w:val="00E96D54"/>
    <w:rsid w:val="00E96DAC"/>
    <w:rsid w:val="00E9706D"/>
    <w:rsid w:val="00E970C2"/>
    <w:rsid w:val="00E9718A"/>
    <w:rsid w:val="00E971CF"/>
    <w:rsid w:val="00E97321"/>
    <w:rsid w:val="00E974A1"/>
    <w:rsid w:val="00EA00B5"/>
    <w:rsid w:val="00EA0D85"/>
    <w:rsid w:val="00EA0D8E"/>
    <w:rsid w:val="00EA121A"/>
    <w:rsid w:val="00EA153A"/>
    <w:rsid w:val="00EA197E"/>
    <w:rsid w:val="00EA1DE0"/>
    <w:rsid w:val="00EA23EA"/>
    <w:rsid w:val="00EA23F4"/>
    <w:rsid w:val="00EA2B7A"/>
    <w:rsid w:val="00EA37C1"/>
    <w:rsid w:val="00EA3BA8"/>
    <w:rsid w:val="00EA3C8B"/>
    <w:rsid w:val="00EA3E3A"/>
    <w:rsid w:val="00EA3F32"/>
    <w:rsid w:val="00EA44C5"/>
    <w:rsid w:val="00EA459C"/>
    <w:rsid w:val="00EA47A2"/>
    <w:rsid w:val="00EA49F8"/>
    <w:rsid w:val="00EA4A29"/>
    <w:rsid w:val="00EA4AF8"/>
    <w:rsid w:val="00EA5343"/>
    <w:rsid w:val="00EA58B2"/>
    <w:rsid w:val="00EA5E3E"/>
    <w:rsid w:val="00EA5F80"/>
    <w:rsid w:val="00EA661F"/>
    <w:rsid w:val="00EA69BF"/>
    <w:rsid w:val="00EA70F8"/>
    <w:rsid w:val="00EA7AF6"/>
    <w:rsid w:val="00EA7C02"/>
    <w:rsid w:val="00EB0279"/>
    <w:rsid w:val="00EB0869"/>
    <w:rsid w:val="00EB0916"/>
    <w:rsid w:val="00EB0AAA"/>
    <w:rsid w:val="00EB0F9D"/>
    <w:rsid w:val="00EB1338"/>
    <w:rsid w:val="00EB1549"/>
    <w:rsid w:val="00EB163B"/>
    <w:rsid w:val="00EB18CC"/>
    <w:rsid w:val="00EB1A9A"/>
    <w:rsid w:val="00EB1AC4"/>
    <w:rsid w:val="00EB2197"/>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4F7"/>
    <w:rsid w:val="00EB562C"/>
    <w:rsid w:val="00EB5791"/>
    <w:rsid w:val="00EB589F"/>
    <w:rsid w:val="00EB595A"/>
    <w:rsid w:val="00EB5A47"/>
    <w:rsid w:val="00EB5B1F"/>
    <w:rsid w:val="00EB5DC2"/>
    <w:rsid w:val="00EB6045"/>
    <w:rsid w:val="00EB6247"/>
    <w:rsid w:val="00EB644D"/>
    <w:rsid w:val="00EB646A"/>
    <w:rsid w:val="00EB647F"/>
    <w:rsid w:val="00EB6A5D"/>
    <w:rsid w:val="00EB6A76"/>
    <w:rsid w:val="00EB6A84"/>
    <w:rsid w:val="00EB6C0B"/>
    <w:rsid w:val="00EB6EDA"/>
    <w:rsid w:val="00EB7626"/>
    <w:rsid w:val="00EB7A0B"/>
    <w:rsid w:val="00EB7D4D"/>
    <w:rsid w:val="00EB7E63"/>
    <w:rsid w:val="00EC026E"/>
    <w:rsid w:val="00EC04A4"/>
    <w:rsid w:val="00EC06F2"/>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C3E"/>
    <w:rsid w:val="00EC7D3D"/>
    <w:rsid w:val="00ED0040"/>
    <w:rsid w:val="00ED07F0"/>
    <w:rsid w:val="00ED0895"/>
    <w:rsid w:val="00ED0D70"/>
    <w:rsid w:val="00ED0DEA"/>
    <w:rsid w:val="00ED169D"/>
    <w:rsid w:val="00ED19A1"/>
    <w:rsid w:val="00ED19A9"/>
    <w:rsid w:val="00ED1B7E"/>
    <w:rsid w:val="00ED1D73"/>
    <w:rsid w:val="00ED244B"/>
    <w:rsid w:val="00ED267F"/>
    <w:rsid w:val="00ED2807"/>
    <w:rsid w:val="00ED282D"/>
    <w:rsid w:val="00ED2991"/>
    <w:rsid w:val="00ED3481"/>
    <w:rsid w:val="00ED44C2"/>
    <w:rsid w:val="00ED4CA8"/>
    <w:rsid w:val="00ED5218"/>
    <w:rsid w:val="00ED56E5"/>
    <w:rsid w:val="00ED59A1"/>
    <w:rsid w:val="00ED5C4B"/>
    <w:rsid w:val="00ED6252"/>
    <w:rsid w:val="00ED65CF"/>
    <w:rsid w:val="00ED6955"/>
    <w:rsid w:val="00ED6E38"/>
    <w:rsid w:val="00ED738E"/>
    <w:rsid w:val="00ED7B45"/>
    <w:rsid w:val="00EE0122"/>
    <w:rsid w:val="00EE0309"/>
    <w:rsid w:val="00EE09EB"/>
    <w:rsid w:val="00EE0AEC"/>
    <w:rsid w:val="00EE0BE4"/>
    <w:rsid w:val="00EE0D68"/>
    <w:rsid w:val="00EE0D8D"/>
    <w:rsid w:val="00EE0DD3"/>
    <w:rsid w:val="00EE10A4"/>
    <w:rsid w:val="00EE11AD"/>
    <w:rsid w:val="00EE18EC"/>
    <w:rsid w:val="00EE1D71"/>
    <w:rsid w:val="00EE1EEB"/>
    <w:rsid w:val="00EE2517"/>
    <w:rsid w:val="00EE2E17"/>
    <w:rsid w:val="00EE342A"/>
    <w:rsid w:val="00EE3B8A"/>
    <w:rsid w:val="00EE3E20"/>
    <w:rsid w:val="00EE4175"/>
    <w:rsid w:val="00EE4306"/>
    <w:rsid w:val="00EE4949"/>
    <w:rsid w:val="00EE4ECE"/>
    <w:rsid w:val="00EE5B17"/>
    <w:rsid w:val="00EE5B91"/>
    <w:rsid w:val="00EE5CA2"/>
    <w:rsid w:val="00EE65DD"/>
    <w:rsid w:val="00EE681A"/>
    <w:rsid w:val="00EE6AB2"/>
    <w:rsid w:val="00EE6B00"/>
    <w:rsid w:val="00EE6D0C"/>
    <w:rsid w:val="00EE712F"/>
    <w:rsid w:val="00EE732D"/>
    <w:rsid w:val="00EE737E"/>
    <w:rsid w:val="00EE7455"/>
    <w:rsid w:val="00EE7651"/>
    <w:rsid w:val="00EE7C4E"/>
    <w:rsid w:val="00EE7D17"/>
    <w:rsid w:val="00EF011B"/>
    <w:rsid w:val="00EF04BD"/>
    <w:rsid w:val="00EF06D9"/>
    <w:rsid w:val="00EF0936"/>
    <w:rsid w:val="00EF0967"/>
    <w:rsid w:val="00EF09FC"/>
    <w:rsid w:val="00EF0A3C"/>
    <w:rsid w:val="00EF0E4B"/>
    <w:rsid w:val="00EF1D7F"/>
    <w:rsid w:val="00EF21F3"/>
    <w:rsid w:val="00EF24A3"/>
    <w:rsid w:val="00EF26E1"/>
    <w:rsid w:val="00EF28AF"/>
    <w:rsid w:val="00EF2B8A"/>
    <w:rsid w:val="00EF2FEA"/>
    <w:rsid w:val="00EF303C"/>
    <w:rsid w:val="00EF3221"/>
    <w:rsid w:val="00EF38BD"/>
    <w:rsid w:val="00EF3C25"/>
    <w:rsid w:val="00EF3D1A"/>
    <w:rsid w:val="00EF3F68"/>
    <w:rsid w:val="00EF4022"/>
    <w:rsid w:val="00EF4310"/>
    <w:rsid w:val="00EF4804"/>
    <w:rsid w:val="00EF48C7"/>
    <w:rsid w:val="00EF4DC4"/>
    <w:rsid w:val="00EF5440"/>
    <w:rsid w:val="00EF5563"/>
    <w:rsid w:val="00EF5DBE"/>
    <w:rsid w:val="00EF6013"/>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3B"/>
    <w:rsid w:val="00F0255A"/>
    <w:rsid w:val="00F026E3"/>
    <w:rsid w:val="00F02CFB"/>
    <w:rsid w:val="00F02D0D"/>
    <w:rsid w:val="00F02EAD"/>
    <w:rsid w:val="00F03233"/>
    <w:rsid w:val="00F03631"/>
    <w:rsid w:val="00F03753"/>
    <w:rsid w:val="00F0378E"/>
    <w:rsid w:val="00F039B5"/>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7D6"/>
    <w:rsid w:val="00F13941"/>
    <w:rsid w:val="00F13B2C"/>
    <w:rsid w:val="00F13FBA"/>
    <w:rsid w:val="00F14405"/>
    <w:rsid w:val="00F1445F"/>
    <w:rsid w:val="00F145DF"/>
    <w:rsid w:val="00F14B12"/>
    <w:rsid w:val="00F15074"/>
    <w:rsid w:val="00F1521E"/>
    <w:rsid w:val="00F15557"/>
    <w:rsid w:val="00F1594C"/>
    <w:rsid w:val="00F15B58"/>
    <w:rsid w:val="00F15CCC"/>
    <w:rsid w:val="00F15E7B"/>
    <w:rsid w:val="00F16516"/>
    <w:rsid w:val="00F16525"/>
    <w:rsid w:val="00F16DE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1FBF"/>
    <w:rsid w:val="00F2286E"/>
    <w:rsid w:val="00F22D00"/>
    <w:rsid w:val="00F22E41"/>
    <w:rsid w:val="00F234CA"/>
    <w:rsid w:val="00F237F2"/>
    <w:rsid w:val="00F23A71"/>
    <w:rsid w:val="00F2403B"/>
    <w:rsid w:val="00F24693"/>
    <w:rsid w:val="00F247E6"/>
    <w:rsid w:val="00F24A67"/>
    <w:rsid w:val="00F24CDF"/>
    <w:rsid w:val="00F251D8"/>
    <w:rsid w:val="00F2521B"/>
    <w:rsid w:val="00F2553A"/>
    <w:rsid w:val="00F25C21"/>
    <w:rsid w:val="00F25D76"/>
    <w:rsid w:val="00F26065"/>
    <w:rsid w:val="00F26171"/>
    <w:rsid w:val="00F266B6"/>
    <w:rsid w:val="00F26B03"/>
    <w:rsid w:val="00F26C86"/>
    <w:rsid w:val="00F26D31"/>
    <w:rsid w:val="00F26DE6"/>
    <w:rsid w:val="00F26F9A"/>
    <w:rsid w:val="00F2700F"/>
    <w:rsid w:val="00F270C3"/>
    <w:rsid w:val="00F274F2"/>
    <w:rsid w:val="00F2757C"/>
    <w:rsid w:val="00F275F9"/>
    <w:rsid w:val="00F276F0"/>
    <w:rsid w:val="00F2798A"/>
    <w:rsid w:val="00F27A85"/>
    <w:rsid w:val="00F27CBA"/>
    <w:rsid w:val="00F27CF1"/>
    <w:rsid w:val="00F30132"/>
    <w:rsid w:val="00F30417"/>
    <w:rsid w:val="00F30BF5"/>
    <w:rsid w:val="00F30CCC"/>
    <w:rsid w:val="00F30DC9"/>
    <w:rsid w:val="00F31313"/>
    <w:rsid w:val="00F31418"/>
    <w:rsid w:val="00F315FA"/>
    <w:rsid w:val="00F3180B"/>
    <w:rsid w:val="00F31C00"/>
    <w:rsid w:val="00F31E61"/>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5E4"/>
    <w:rsid w:val="00F34626"/>
    <w:rsid w:val="00F34CC1"/>
    <w:rsid w:val="00F34DB9"/>
    <w:rsid w:val="00F34FEE"/>
    <w:rsid w:val="00F3510C"/>
    <w:rsid w:val="00F35774"/>
    <w:rsid w:val="00F3591D"/>
    <w:rsid w:val="00F359AD"/>
    <w:rsid w:val="00F35F6A"/>
    <w:rsid w:val="00F36187"/>
    <w:rsid w:val="00F36271"/>
    <w:rsid w:val="00F362F6"/>
    <w:rsid w:val="00F364DD"/>
    <w:rsid w:val="00F366C7"/>
    <w:rsid w:val="00F367AF"/>
    <w:rsid w:val="00F367CA"/>
    <w:rsid w:val="00F369FB"/>
    <w:rsid w:val="00F3736F"/>
    <w:rsid w:val="00F40466"/>
    <w:rsid w:val="00F40636"/>
    <w:rsid w:val="00F40715"/>
    <w:rsid w:val="00F4087C"/>
    <w:rsid w:val="00F409D3"/>
    <w:rsid w:val="00F4129E"/>
    <w:rsid w:val="00F41311"/>
    <w:rsid w:val="00F41C1F"/>
    <w:rsid w:val="00F421A7"/>
    <w:rsid w:val="00F421E8"/>
    <w:rsid w:val="00F4241A"/>
    <w:rsid w:val="00F42621"/>
    <w:rsid w:val="00F42788"/>
    <w:rsid w:val="00F4288C"/>
    <w:rsid w:val="00F42C97"/>
    <w:rsid w:val="00F42E38"/>
    <w:rsid w:val="00F42FB5"/>
    <w:rsid w:val="00F435DA"/>
    <w:rsid w:val="00F43632"/>
    <w:rsid w:val="00F4365A"/>
    <w:rsid w:val="00F4418A"/>
    <w:rsid w:val="00F442D3"/>
    <w:rsid w:val="00F44590"/>
    <w:rsid w:val="00F4490F"/>
    <w:rsid w:val="00F44B03"/>
    <w:rsid w:val="00F44C6C"/>
    <w:rsid w:val="00F44CE6"/>
    <w:rsid w:val="00F44E77"/>
    <w:rsid w:val="00F4524A"/>
    <w:rsid w:val="00F45A96"/>
    <w:rsid w:val="00F45ACC"/>
    <w:rsid w:val="00F4660F"/>
    <w:rsid w:val="00F467F7"/>
    <w:rsid w:val="00F46FCF"/>
    <w:rsid w:val="00F4768C"/>
    <w:rsid w:val="00F47E1E"/>
    <w:rsid w:val="00F47EE4"/>
    <w:rsid w:val="00F500DA"/>
    <w:rsid w:val="00F50965"/>
    <w:rsid w:val="00F50AF4"/>
    <w:rsid w:val="00F50CCD"/>
    <w:rsid w:val="00F50FC2"/>
    <w:rsid w:val="00F51460"/>
    <w:rsid w:val="00F51C2D"/>
    <w:rsid w:val="00F52868"/>
    <w:rsid w:val="00F52B16"/>
    <w:rsid w:val="00F52B28"/>
    <w:rsid w:val="00F52E59"/>
    <w:rsid w:val="00F52EB7"/>
    <w:rsid w:val="00F530DB"/>
    <w:rsid w:val="00F534D4"/>
    <w:rsid w:val="00F53BE5"/>
    <w:rsid w:val="00F541E4"/>
    <w:rsid w:val="00F5468E"/>
    <w:rsid w:val="00F551F0"/>
    <w:rsid w:val="00F55294"/>
    <w:rsid w:val="00F55925"/>
    <w:rsid w:val="00F55954"/>
    <w:rsid w:val="00F55CB3"/>
    <w:rsid w:val="00F56078"/>
    <w:rsid w:val="00F567F2"/>
    <w:rsid w:val="00F56921"/>
    <w:rsid w:val="00F56C09"/>
    <w:rsid w:val="00F57127"/>
    <w:rsid w:val="00F572CE"/>
    <w:rsid w:val="00F57493"/>
    <w:rsid w:val="00F57CC0"/>
    <w:rsid w:val="00F57F2E"/>
    <w:rsid w:val="00F57F66"/>
    <w:rsid w:val="00F60223"/>
    <w:rsid w:val="00F60381"/>
    <w:rsid w:val="00F60493"/>
    <w:rsid w:val="00F60920"/>
    <w:rsid w:val="00F6097F"/>
    <w:rsid w:val="00F60A64"/>
    <w:rsid w:val="00F60E3A"/>
    <w:rsid w:val="00F6173D"/>
    <w:rsid w:val="00F61F08"/>
    <w:rsid w:val="00F61FAC"/>
    <w:rsid w:val="00F622AE"/>
    <w:rsid w:val="00F62921"/>
    <w:rsid w:val="00F62DE2"/>
    <w:rsid w:val="00F63470"/>
    <w:rsid w:val="00F63754"/>
    <w:rsid w:val="00F63A1C"/>
    <w:rsid w:val="00F63B12"/>
    <w:rsid w:val="00F63D98"/>
    <w:rsid w:val="00F63DAB"/>
    <w:rsid w:val="00F63F96"/>
    <w:rsid w:val="00F64357"/>
    <w:rsid w:val="00F6435A"/>
    <w:rsid w:val="00F644FC"/>
    <w:rsid w:val="00F64787"/>
    <w:rsid w:val="00F6479D"/>
    <w:rsid w:val="00F64826"/>
    <w:rsid w:val="00F64D3A"/>
    <w:rsid w:val="00F64EDB"/>
    <w:rsid w:val="00F64FA2"/>
    <w:rsid w:val="00F65326"/>
    <w:rsid w:val="00F65423"/>
    <w:rsid w:val="00F65715"/>
    <w:rsid w:val="00F658A6"/>
    <w:rsid w:val="00F65A1A"/>
    <w:rsid w:val="00F65AA0"/>
    <w:rsid w:val="00F65D69"/>
    <w:rsid w:val="00F660E2"/>
    <w:rsid w:val="00F663D9"/>
    <w:rsid w:val="00F663FD"/>
    <w:rsid w:val="00F665FF"/>
    <w:rsid w:val="00F669FB"/>
    <w:rsid w:val="00F67475"/>
    <w:rsid w:val="00F6747A"/>
    <w:rsid w:val="00F67B78"/>
    <w:rsid w:val="00F67D3B"/>
    <w:rsid w:val="00F70006"/>
    <w:rsid w:val="00F70D11"/>
    <w:rsid w:val="00F70D7B"/>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8C"/>
    <w:rsid w:val="00F750DA"/>
    <w:rsid w:val="00F753DA"/>
    <w:rsid w:val="00F75D01"/>
    <w:rsid w:val="00F761AA"/>
    <w:rsid w:val="00F76254"/>
    <w:rsid w:val="00F76284"/>
    <w:rsid w:val="00F765C4"/>
    <w:rsid w:val="00F76E64"/>
    <w:rsid w:val="00F77167"/>
    <w:rsid w:val="00F77399"/>
    <w:rsid w:val="00F775AF"/>
    <w:rsid w:val="00F77646"/>
    <w:rsid w:val="00F77DD2"/>
    <w:rsid w:val="00F80204"/>
    <w:rsid w:val="00F80256"/>
    <w:rsid w:val="00F80723"/>
    <w:rsid w:val="00F81119"/>
    <w:rsid w:val="00F8141B"/>
    <w:rsid w:val="00F81454"/>
    <w:rsid w:val="00F818BA"/>
    <w:rsid w:val="00F81A1D"/>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7A5"/>
    <w:rsid w:val="00F85C31"/>
    <w:rsid w:val="00F86D5B"/>
    <w:rsid w:val="00F87011"/>
    <w:rsid w:val="00F872DD"/>
    <w:rsid w:val="00F872E7"/>
    <w:rsid w:val="00F87544"/>
    <w:rsid w:val="00F87652"/>
    <w:rsid w:val="00F87929"/>
    <w:rsid w:val="00F87AD3"/>
    <w:rsid w:val="00F87B0B"/>
    <w:rsid w:val="00F87DA4"/>
    <w:rsid w:val="00F87EE7"/>
    <w:rsid w:val="00F900F1"/>
    <w:rsid w:val="00F9022B"/>
    <w:rsid w:val="00F90431"/>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082"/>
    <w:rsid w:val="00F95A46"/>
    <w:rsid w:val="00F960ED"/>
    <w:rsid w:val="00F962FE"/>
    <w:rsid w:val="00F963AA"/>
    <w:rsid w:val="00F966D1"/>
    <w:rsid w:val="00F96835"/>
    <w:rsid w:val="00F96D06"/>
    <w:rsid w:val="00F975DC"/>
    <w:rsid w:val="00F976CC"/>
    <w:rsid w:val="00F97731"/>
    <w:rsid w:val="00F9778D"/>
    <w:rsid w:val="00F97907"/>
    <w:rsid w:val="00F97944"/>
    <w:rsid w:val="00F97CF3"/>
    <w:rsid w:val="00FA020F"/>
    <w:rsid w:val="00FA024D"/>
    <w:rsid w:val="00FA068C"/>
    <w:rsid w:val="00FA07C0"/>
    <w:rsid w:val="00FA1646"/>
    <w:rsid w:val="00FA1766"/>
    <w:rsid w:val="00FA1C8E"/>
    <w:rsid w:val="00FA1E11"/>
    <w:rsid w:val="00FA2416"/>
    <w:rsid w:val="00FA2543"/>
    <w:rsid w:val="00FA2790"/>
    <w:rsid w:val="00FA2823"/>
    <w:rsid w:val="00FA283F"/>
    <w:rsid w:val="00FA2F8D"/>
    <w:rsid w:val="00FA3213"/>
    <w:rsid w:val="00FA324A"/>
    <w:rsid w:val="00FA33FA"/>
    <w:rsid w:val="00FA364A"/>
    <w:rsid w:val="00FA38F0"/>
    <w:rsid w:val="00FA3B82"/>
    <w:rsid w:val="00FA3C90"/>
    <w:rsid w:val="00FA3EA6"/>
    <w:rsid w:val="00FA4EB5"/>
    <w:rsid w:val="00FA4FEC"/>
    <w:rsid w:val="00FA5166"/>
    <w:rsid w:val="00FA564E"/>
    <w:rsid w:val="00FA5AB4"/>
    <w:rsid w:val="00FA5BCB"/>
    <w:rsid w:val="00FA5E9F"/>
    <w:rsid w:val="00FA60C3"/>
    <w:rsid w:val="00FA61A8"/>
    <w:rsid w:val="00FA636C"/>
    <w:rsid w:val="00FA637E"/>
    <w:rsid w:val="00FA681C"/>
    <w:rsid w:val="00FA6A08"/>
    <w:rsid w:val="00FA6BE0"/>
    <w:rsid w:val="00FA6CE3"/>
    <w:rsid w:val="00FA75F6"/>
    <w:rsid w:val="00FA7C90"/>
    <w:rsid w:val="00FB00C9"/>
    <w:rsid w:val="00FB0533"/>
    <w:rsid w:val="00FB0716"/>
    <w:rsid w:val="00FB084B"/>
    <w:rsid w:val="00FB0AC9"/>
    <w:rsid w:val="00FB0C32"/>
    <w:rsid w:val="00FB0E87"/>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ED6"/>
    <w:rsid w:val="00FC31BA"/>
    <w:rsid w:val="00FC3348"/>
    <w:rsid w:val="00FC36F2"/>
    <w:rsid w:val="00FC3749"/>
    <w:rsid w:val="00FC3847"/>
    <w:rsid w:val="00FC3A9A"/>
    <w:rsid w:val="00FC3BEA"/>
    <w:rsid w:val="00FC41A0"/>
    <w:rsid w:val="00FC42A3"/>
    <w:rsid w:val="00FC488D"/>
    <w:rsid w:val="00FC493B"/>
    <w:rsid w:val="00FC4D61"/>
    <w:rsid w:val="00FC50CD"/>
    <w:rsid w:val="00FC52E7"/>
    <w:rsid w:val="00FC54C0"/>
    <w:rsid w:val="00FC5AE4"/>
    <w:rsid w:val="00FC5B55"/>
    <w:rsid w:val="00FC6604"/>
    <w:rsid w:val="00FC67F7"/>
    <w:rsid w:val="00FC6A9A"/>
    <w:rsid w:val="00FC6C0E"/>
    <w:rsid w:val="00FC6C36"/>
    <w:rsid w:val="00FC6E31"/>
    <w:rsid w:val="00FC6F6A"/>
    <w:rsid w:val="00FC703D"/>
    <w:rsid w:val="00FC708F"/>
    <w:rsid w:val="00FC7245"/>
    <w:rsid w:val="00FC7326"/>
    <w:rsid w:val="00FC7398"/>
    <w:rsid w:val="00FC7426"/>
    <w:rsid w:val="00FC764C"/>
    <w:rsid w:val="00FC7C4F"/>
    <w:rsid w:val="00FD00D9"/>
    <w:rsid w:val="00FD0107"/>
    <w:rsid w:val="00FD01F4"/>
    <w:rsid w:val="00FD0211"/>
    <w:rsid w:val="00FD04BB"/>
    <w:rsid w:val="00FD0C8E"/>
    <w:rsid w:val="00FD0CF7"/>
    <w:rsid w:val="00FD0EAC"/>
    <w:rsid w:val="00FD1378"/>
    <w:rsid w:val="00FD1404"/>
    <w:rsid w:val="00FD1490"/>
    <w:rsid w:val="00FD1986"/>
    <w:rsid w:val="00FD1BE0"/>
    <w:rsid w:val="00FD1DCE"/>
    <w:rsid w:val="00FD1F67"/>
    <w:rsid w:val="00FD2049"/>
    <w:rsid w:val="00FD22E4"/>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6342"/>
    <w:rsid w:val="00FD6355"/>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3F9"/>
    <w:rsid w:val="00FE2624"/>
    <w:rsid w:val="00FE2788"/>
    <w:rsid w:val="00FE2976"/>
    <w:rsid w:val="00FE30B7"/>
    <w:rsid w:val="00FE3AAB"/>
    <w:rsid w:val="00FE3C63"/>
    <w:rsid w:val="00FE3D94"/>
    <w:rsid w:val="00FE3FF0"/>
    <w:rsid w:val="00FE54C1"/>
    <w:rsid w:val="00FE5EF4"/>
    <w:rsid w:val="00FE5F18"/>
    <w:rsid w:val="00FE5F32"/>
    <w:rsid w:val="00FE6218"/>
    <w:rsid w:val="00FE6573"/>
    <w:rsid w:val="00FE6F49"/>
    <w:rsid w:val="00FE740B"/>
    <w:rsid w:val="00FE75BC"/>
    <w:rsid w:val="00FE76A6"/>
    <w:rsid w:val="00FE77EA"/>
    <w:rsid w:val="00FE7832"/>
    <w:rsid w:val="00FE78B3"/>
    <w:rsid w:val="00FE79B4"/>
    <w:rsid w:val="00FE7AB5"/>
    <w:rsid w:val="00FF0555"/>
    <w:rsid w:val="00FF09E0"/>
    <w:rsid w:val="00FF0C84"/>
    <w:rsid w:val="00FF0CCB"/>
    <w:rsid w:val="00FF0E73"/>
    <w:rsid w:val="00FF0FD0"/>
    <w:rsid w:val="00FF112D"/>
    <w:rsid w:val="00FF1564"/>
    <w:rsid w:val="00FF1610"/>
    <w:rsid w:val="00FF1BE6"/>
    <w:rsid w:val="00FF1C32"/>
    <w:rsid w:val="00FF1EE2"/>
    <w:rsid w:val="00FF23F9"/>
    <w:rsid w:val="00FF2425"/>
    <w:rsid w:val="00FF296A"/>
    <w:rsid w:val="00FF3359"/>
    <w:rsid w:val="00FF35E6"/>
    <w:rsid w:val="00FF3702"/>
    <w:rsid w:val="00FF39A9"/>
    <w:rsid w:val="00FF3AA1"/>
    <w:rsid w:val="00FF3EA7"/>
    <w:rsid w:val="00FF3F4E"/>
    <w:rsid w:val="00FF410F"/>
    <w:rsid w:val="00FF4467"/>
    <w:rsid w:val="00FF456A"/>
    <w:rsid w:val="00FF46FB"/>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0FCB53E"/>
  <w15:docId w15:val="{D2EF4213-B447-4234-8227-71C13F72C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33643141">
      <w:bodyDiv w:val="1"/>
      <w:marLeft w:val="0"/>
      <w:marRight w:val="0"/>
      <w:marTop w:val="0"/>
      <w:marBottom w:val="0"/>
      <w:divBdr>
        <w:top w:val="none" w:sz="0" w:space="0" w:color="auto"/>
        <w:left w:val="none" w:sz="0" w:space="0" w:color="auto"/>
        <w:bottom w:val="none" w:sz="0" w:space="0" w:color="auto"/>
        <w:right w:val="none" w:sz="0" w:space="0" w:color="auto"/>
      </w:divBdr>
      <w:divsChild>
        <w:div w:id="130249650">
          <w:marLeft w:val="562"/>
          <w:marRight w:val="0"/>
          <w:marTop w:val="0"/>
          <w:marBottom w:val="0"/>
          <w:divBdr>
            <w:top w:val="none" w:sz="0" w:space="0" w:color="auto"/>
            <w:left w:val="none" w:sz="0" w:space="0" w:color="auto"/>
            <w:bottom w:val="none" w:sz="0" w:space="0" w:color="auto"/>
            <w:right w:val="none" w:sz="0" w:space="0" w:color="auto"/>
          </w:divBdr>
        </w:div>
        <w:div w:id="159204483">
          <w:marLeft w:val="562"/>
          <w:marRight w:val="0"/>
          <w:marTop w:val="0"/>
          <w:marBottom w:val="0"/>
          <w:divBdr>
            <w:top w:val="none" w:sz="0" w:space="0" w:color="auto"/>
            <w:left w:val="none" w:sz="0" w:space="0" w:color="auto"/>
            <w:bottom w:val="none" w:sz="0" w:space="0" w:color="auto"/>
            <w:right w:val="none" w:sz="0" w:space="0" w:color="auto"/>
          </w:divBdr>
        </w:div>
        <w:div w:id="315762706">
          <w:marLeft w:val="216"/>
          <w:marRight w:val="0"/>
          <w:marTop w:val="240"/>
          <w:marBottom w:val="0"/>
          <w:divBdr>
            <w:top w:val="none" w:sz="0" w:space="0" w:color="auto"/>
            <w:left w:val="none" w:sz="0" w:space="0" w:color="auto"/>
            <w:bottom w:val="none" w:sz="0" w:space="0" w:color="auto"/>
            <w:right w:val="none" w:sz="0" w:space="0" w:color="auto"/>
          </w:divBdr>
        </w:div>
        <w:div w:id="321932909">
          <w:marLeft w:val="562"/>
          <w:marRight w:val="0"/>
          <w:marTop w:val="0"/>
          <w:marBottom w:val="0"/>
          <w:divBdr>
            <w:top w:val="none" w:sz="0" w:space="0" w:color="auto"/>
            <w:left w:val="none" w:sz="0" w:space="0" w:color="auto"/>
            <w:bottom w:val="none" w:sz="0" w:space="0" w:color="auto"/>
            <w:right w:val="none" w:sz="0" w:space="0" w:color="auto"/>
          </w:divBdr>
        </w:div>
        <w:div w:id="361319682">
          <w:marLeft w:val="562"/>
          <w:marRight w:val="0"/>
          <w:marTop w:val="0"/>
          <w:marBottom w:val="0"/>
          <w:divBdr>
            <w:top w:val="none" w:sz="0" w:space="0" w:color="auto"/>
            <w:left w:val="none" w:sz="0" w:space="0" w:color="auto"/>
            <w:bottom w:val="none" w:sz="0" w:space="0" w:color="auto"/>
            <w:right w:val="none" w:sz="0" w:space="0" w:color="auto"/>
          </w:divBdr>
        </w:div>
        <w:div w:id="558516903">
          <w:marLeft w:val="562"/>
          <w:marRight w:val="0"/>
          <w:marTop w:val="0"/>
          <w:marBottom w:val="0"/>
          <w:divBdr>
            <w:top w:val="none" w:sz="0" w:space="0" w:color="auto"/>
            <w:left w:val="none" w:sz="0" w:space="0" w:color="auto"/>
            <w:bottom w:val="none" w:sz="0" w:space="0" w:color="auto"/>
            <w:right w:val="none" w:sz="0" w:space="0" w:color="auto"/>
          </w:divBdr>
        </w:div>
        <w:div w:id="898248122">
          <w:marLeft w:val="562"/>
          <w:marRight w:val="0"/>
          <w:marTop w:val="0"/>
          <w:marBottom w:val="0"/>
          <w:divBdr>
            <w:top w:val="none" w:sz="0" w:space="0" w:color="auto"/>
            <w:left w:val="none" w:sz="0" w:space="0" w:color="auto"/>
            <w:bottom w:val="none" w:sz="0" w:space="0" w:color="auto"/>
            <w:right w:val="none" w:sz="0" w:space="0" w:color="auto"/>
          </w:divBdr>
        </w:div>
        <w:div w:id="1175656553">
          <w:marLeft w:val="562"/>
          <w:marRight w:val="0"/>
          <w:marTop w:val="0"/>
          <w:marBottom w:val="0"/>
          <w:divBdr>
            <w:top w:val="none" w:sz="0" w:space="0" w:color="auto"/>
            <w:left w:val="none" w:sz="0" w:space="0" w:color="auto"/>
            <w:bottom w:val="none" w:sz="0" w:space="0" w:color="auto"/>
            <w:right w:val="none" w:sz="0" w:space="0" w:color="auto"/>
          </w:divBdr>
        </w:div>
        <w:div w:id="1257179787">
          <w:marLeft w:val="216"/>
          <w:marRight w:val="0"/>
          <w:marTop w:val="240"/>
          <w:marBottom w:val="0"/>
          <w:divBdr>
            <w:top w:val="none" w:sz="0" w:space="0" w:color="auto"/>
            <w:left w:val="none" w:sz="0" w:space="0" w:color="auto"/>
            <w:bottom w:val="none" w:sz="0" w:space="0" w:color="auto"/>
            <w:right w:val="none" w:sz="0" w:space="0" w:color="auto"/>
          </w:divBdr>
        </w:div>
        <w:div w:id="1673293089">
          <w:marLeft w:val="562"/>
          <w:marRight w:val="0"/>
          <w:marTop w:val="0"/>
          <w:marBottom w:val="0"/>
          <w:divBdr>
            <w:top w:val="none" w:sz="0" w:space="0" w:color="auto"/>
            <w:left w:val="none" w:sz="0" w:space="0" w:color="auto"/>
            <w:bottom w:val="none" w:sz="0" w:space="0" w:color="auto"/>
            <w:right w:val="none" w:sz="0" w:space="0" w:color="auto"/>
          </w:divBdr>
        </w:div>
        <w:div w:id="1702123123">
          <w:marLeft w:val="562"/>
          <w:marRight w:val="0"/>
          <w:marTop w:val="0"/>
          <w:marBottom w:val="0"/>
          <w:divBdr>
            <w:top w:val="none" w:sz="0" w:space="0" w:color="auto"/>
            <w:left w:val="none" w:sz="0" w:space="0" w:color="auto"/>
            <w:bottom w:val="none" w:sz="0" w:space="0" w:color="auto"/>
            <w:right w:val="none" w:sz="0" w:space="0" w:color="auto"/>
          </w:divBdr>
        </w:div>
        <w:div w:id="1762095769">
          <w:marLeft w:val="216"/>
          <w:marRight w:val="0"/>
          <w:marTop w:val="240"/>
          <w:marBottom w:val="0"/>
          <w:divBdr>
            <w:top w:val="none" w:sz="0" w:space="0" w:color="auto"/>
            <w:left w:val="none" w:sz="0" w:space="0" w:color="auto"/>
            <w:bottom w:val="none" w:sz="0" w:space="0" w:color="auto"/>
            <w:right w:val="none" w:sz="0" w:space="0" w:color="auto"/>
          </w:divBdr>
        </w:div>
        <w:div w:id="2033604045">
          <w:marLeft w:val="562"/>
          <w:marRight w:val="0"/>
          <w:marTop w:val="0"/>
          <w:marBottom w:val="0"/>
          <w:divBdr>
            <w:top w:val="none" w:sz="0" w:space="0" w:color="auto"/>
            <w:left w:val="none" w:sz="0" w:space="0" w:color="auto"/>
            <w:bottom w:val="none" w:sz="0" w:space="0" w:color="auto"/>
            <w:right w:val="none" w:sz="0" w:space="0" w:color="auto"/>
          </w:divBdr>
        </w:div>
      </w:divsChild>
    </w:div>
    <w:div w:id="144706832">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46062691">
      <w:bodyDiv w:val="1"/>
      <w:marLeft w:val="0"/>
      <w:marRight w:val="0"/>
      <w:marTop w:val="0"/>
      <w:marBottom w:val="0"/>
      <w:divBdr>
        <w:top w:val="none" w:sz="0" w:space="0" w:color="auto"/>
        <w:left w:val="none" w:sz="0" w:space="0" w:color="auto"/>
        <w:bottom w:val="none" w:sz="0" w:space="0" w:color="auto"/>
        <w:right w:val="none" w:sz="0" w:space="0" w:color="auto"/>
      </w:divBdr>
      <w:divsChild>
        <w:div w:id="572933532">
          <w:marLeft w:val="1166"/>
          <w:marRight w:val="0"/>
          <w:marTop w:val="86"/>
          <w:marBottom w:val="0"/>
          <w:divBdr>
            <w:top w:val="none" w:sz="0" w:space="0" w:color="auto"/>
            <w:left w:val="none" w:sz="0" w:space="0" w:color="auto"/>
            <w:bottom w:val="none" w:sz="0" w:space="0" w:color="auto"/>
            <w:right w:val="none" w:sz="0" w:space="0" w:color="auto"/>
          </w:divBdr>
        </w:div>
        <w:div w:id="1706982999">
          <w:marLeft w:val="1166"/>
          <w:marRight w:val="0"/>
          <w:marTop w:val="86"/>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38303273">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896553377">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4612309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778988611">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25271419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412317071">
          <w:marLeft w:val="547"/>
          <w:marRight w:val="0"/>
          <w:marTop w:val="24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7534415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146003713">
      <w:bodyDiv w:val="1"/>
      <w:marLeft w:val="0"/>
      <w:marRight w:val="0"/>
      <w:marTop w:val="0"/>
      <w:marBottom w:val="0"/>
      <w:divBdr>
        <w:top w:val="none" w:sz="0" w:space="0" w:color="auto"/>
        <w:left w:val="none" w:sz="0" w:space="0" w:color="auto"/>
        <w:bottom w:val="none" w:sz="0" w:space="0" w:color="auto"/>
        <w:right w:val="none" w:sz="0" w:space="0" w:color="auto"/>
      </w:divBdr>
      <w:divsChild>
        <w:div w:id="25451046">
          <w:marLeft w:val="562"/>
          <w:marRight w:val="0"/>
          <w:marTop w:val="0"/>
          <w:marBottom w:val="0"/>
          <w:divBdr>
            <w:top w:val="none" w:sz="0" w:space="0" w:color="auto"/>
            <w:left w:val="none" w:sz="0" w:space="0" w:color="auto"/>
            <w:bottom w:val="none" w:sz="0" w:space="0" w:color="auto"/>
            <w:right w:val="none" w:sz="0" w:space="0" w:color="auto"/>
          </w:divBdr>
        </w:div>
        <w:div w:id="447545829">
          <w:marLeft w:val="562"/>
          <w:marRight w:val="0"/>
          <w:marTop w:val="0"/>
          <w:marBottom w:val="0"/>
          <w:divBdr>
            <w:top w:val="none" w:sz="0" w:space="0" w:color="auto"/>
            <w:left w:val="none" w:sz="0" w:space="0" w:color="auto"/>
            <w:bottom w:val="none" w:sz="0" w:space="0" w:color="auto"/>
            <w:right w:val="none" w:sz="0" w:space="0" w:color="auto"/>
          </w:divBdr>
        </w:div>
        <w:div w:id="448281500">
          <w:marLeft w:val="216"/>
          <w:marRight w:val="0"/>
          <w:marTop w:val="240"/>
          <w:marBottom w:val="0"/>
          <w:divBdr>
            <w:top w:val="none" w:sz="0" w:space="0" w:color="auto"/>
            <w:left w:val="none" w:sz="0" w:space="0" w:color="auto"/>
            <w:bottom w:val="none" w:sz="0" w:space="0" w:color="auto"/>
            <w:right w:val="none" w:sz="0" w:space="0" w:color="auto"/>
          </w:divBdr>
        </w:div>
        <w:div w:id="652681375">
          <w:marLeft w:val="562"/>
          <w:marRight w:val="0"/>
          <w:marTop w:val="0"/>
          <w:marBottom w:val="0"/>
          <w:divBdr>
            <w:top w:val="none" w:sz="0" w:space="0" w:color="auto"/>
            <w:left w:val="none" w:sz="0" w:space="0" w:color="auto"/>
            <w:bottom w:val="none" w:sz="0" w:space="0" w:color="auto"/>
            <w:right w:val="none" w:sz="0" w:space="0" w:color="auto"/>
          </w:divBdr>
        </w:div>
        <w:div w:id="715588017">
          <w:marLeft w:val="216"/>
          <w:marRight w:val="0"/>
          <w:marTop w:val="240"/>
          <w:marBottom w:val="0"/>
          <w:divBdr>
            <w:top w:val="none" w:sz="0" w:space="0" w:color="auto"/>
            <w:left w:val="none" w:sz="0" w:space="0" w:color="auto"/>
            <w:bottom w:val="none" w:sz="0" w:space="0" w:color="auto"/>
            <w:right w:val="none" w:sz="0" w:space="0" w:color="auto"/>
          </w:divBdr>
        </w:div>
        <w:div w:id="759717413">
          <w:marLeft w:val="562"/>
          <w:marRight w:val="0"/>
          <w:marTop w:val="0"/>
          <w:marBottom w:val="0"/>
          <w:divBdr>
            <w:top w:val="none" w:sz="0" w:space="0" w:color="auto"/>
            <w:left w:val="none" w:sz="0" w:space="0" w:color="auto"/>
            <w:bottom w:val="none" w:sz="0" w:space="0" w:color="auto"/>
            <w:right w:val="none" w:sz="0" w:space="0" w:color="auto"/>
          </w:divBdr>
        </w:div>
        <w:div w:id="1145387726">
          <w:marLeft w:val="216"/>
          <w:marRight w:val="0"/>
          <w:marTop w:val="240"/>
          <w:marBottom w:val="0"/>
          <w:divBdr>
            <w:top w:val="none" w:sz="0" w:space="0" w:color="auto"/>
            <w:left w:val="none" w:sz="0" w:space="0" w:color="auto"/>
            <w:bottom w:val="none" w:sz="0" w:space="0" w:color="auto"/>
            <w:right w:val="none" w:sz="0" w:space="0" w:color="auto"/>
          </w:divBdr>
        </w:div>
        <w:div w:id="1472945738">
          <w:marLeft w:val="562"/>
          <w:marRight w:val="0"/>
          <w:marTop w:val="0"/>
          <w:marBottom w:val="0"/>
          <w:divBdr>
            <w:top w:val="none" w:sz="0" w:space="0" w:color="auto"/>
            <w:left w:val="none" w:sz="0" w:space="0" w:color="auto"/>
            <w:bottom w:val="none" w:sz="0" w:space="0" w:color="auto"/>
            <w:right w:val="none" w:sz="0" w:space="0" w:color="auto"/>
          </w:divBdr>
        </w:div>
        <w:div w:id="1511410304">
          <w:marLeft w:val="562"/>
          <w:marRight w:val="0"/>
          <w:marTop w:val="0"/>
          <w:marBottom w:val="0"/>
          <w:divBdr>
            <w:top w:val="none" w:sz="0" w:space="0" w:color="auto"/>
            <w:left w:val="none" w:sz="0" w:space="0" w:color="auto"/>
            <w:bottom w:val="none" w:sz="0" w:space="0" w:color="auto"/>
            <w:right w:val="none" w:sz="0" w:space="0" w:color="auto"/>
          </w:divBdr>
        </w:div>
        <w:div w:id="1640258630">
          <w:marLeft w:val="562"/>
          <w:marRight w:val="0"/>
          <w:marTop w:val="0"/>
          <w:marBottom w:val="0"/>
          <w:divBdr>
            <w:top w:val="none" w:sz="0" w:space="0" w:color="auto"/>
            <w:left w:val="none" w:sz="0" w:space="0" w:color="auto"/>
            <w:bottom w:val="none" w:sz="0" w:space="0" w:color="auto"/>
            <w:right w:val="none" w:sz="0" w:space="0" w:color="auto"/>
          </w:divBdr>
        </w:div>
        <w:div w:id="1673600040">
          <w:marLeft w:val="562"/>
          <w:marRight w:val="0"/>
          <w:marTop w:val="0"/>
          <w:marBottom w:val="0"/>
          <w:divBdr>
            <w:top w:val="none" w:sz="0" w:space="0" w:color="auto"/>
            <w:left w:val="none" w:sz="0" w:space="0" w:color="auto"/>
            <w:bottom w:val="none" w:sz="0" w:space="0" w:color="auto"/>
            <w:right w:val="none" w:sz="0" w:space="0" w:color="auto"/>
          </w:divBdr>
        </w:div>
        <w:div w:id="1787042327">
          <w:marLeft w:val="562"/>
          <w:marRight w:val="0"/>
          <w:marTop w:val="0"/>
          <w:marBottom w:val="0"/>
          <w:divBdr>
            <w:top w:val="none" w:sz="0" w:space="0" w:color="auto"/>
            <w:left w:val="none" w:sz="0" w:space="0" w:color="auto"/>
            <w:bottom w:val="none" w:sz="0" w:space="0" w:color="auto"/>
            <w:right w:val="none" w:sz="0" w:space="0" w:color="auto"/>
          </w:divBdr>
        </w:div>
        <w:div w:id="1920166636">
          <w:marLeft w:val="562"/>
          <w:marRight w:val="0"/>
          <w:marTop w:val="0"/>
          <w:marBottom w:val="0"/>
          <w:divBdr>
            <w:top w:val="none" w:sz="0" w:space="0" w:color="auto"/>
            <w:left w:val="none" w:sz="0" w:space="0" w:color="auto"/>
            <w:bottom w:val="none" w:sz="0" w:space="0" w:color="auto"/>
            <w:right w:val="none" w:sz="0" w:space="0" w:color="auto"/>
          </w:divBdr>
        </w:div>
      </w:divsChild>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DCE1174F-E0AE-4C9D-916F-E39270164F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4027</TotalTime>
  <Pages>6</Pages>
  <Words>2296</Words>
  <Characters>13090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QC1</cp:lastModifiedBy>
  <cp:revision>405</cp:revision>
  <cp:lastPrinted>2011-08-04T00:36:00Z</cp:lastPrinted>
  <dcterms:created xsi:type="dcterms:W3CDTF">2023-07-24T06:28:00Z</dcterms:created>
  <dcterms:modified xsi:type="dcterms:W3CDTF">2023-08-11T03:06:00Z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